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05" w:rsidRPr="00A97505" w:rsidRDefault="00A97505" w:rsidP="0021776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z w:val="48"/>
          <w:szCs w:val="48"/>
        </w:rPr>
      </w:pPr>
      <w:r w:rsidRPr="00A97505">
        <w:rPr>
          <w:rFonts w:asciiTheme="majorHAnsi" w:hAnsiTheme="majorHAnsi"/>
          <w:sz w:val="48"/>
          <w:szCs w:val="48"/>
        </w:rPr>
        <w:t>LE CASIER JUDICIAIRE</w:t>
      </w:r>
    </w:p>
    <w:p w:rsidR="00A97505" w:rsidRDefault="00A97505" w:rsidP="00217767">
      <w:pPr>
        <w:jc w:val="both"/>
        <w:rPr>
          <w:rFonts w:asciiTheme="majorHAnsi" w:hAnsiTheme="majorHAnsi"/>
        </w:rPr>
      </w:pPr>
      <w:bookmarkStart w:id="0" w:name="_GoBack"/>
      <w:bookmarkEnd w:id="0"/>
    </w:p>
    <w:p w:rsidR="00965748" w:rsidRPr="00A97505" w:rsidRDefault="00A97505" w:rsidP="00217767">
      <w:pPr>
        <w:jc w:val="both"/>
        <w:rPr>
          <w:rFonts w:asciiTheme="majorHAnsi" w:hAnsiTheme="majorHAnsi"/>
        </w:rPr>
      </w:pPr>
      <w:r w:rsidRPr="00A97505">
        <w:rPr>
          <w:rFonts w:asciiTheme="majorHAnsi" w:hAnsiTheme="majorHAnsi"/>
        </w:rPr>
        <w:t xml:space="preserve">Le </w:t>
      </w:r>
      <w:r w:rsidRPr="00A97505">
        <w:rPr>
          <w:rFonts w:asciiTheme="majorHAnsi" w:hAnsiTheme="majorHAnsi"/>
          <w:bCs/>
        </w:rPr>
        <w:t>casier judiciaire</w:t>
      </w:r>
      <w:r w:rsidRPr="00A97505">
        <w:rPr>
          <w:rFonts w:asciiTheme="majorHAnsi" w:hAnsiTheme="majorHAnsi"/>
        </w:rPr>
        <w:t xml:space="preserve"> est en </w:t>
      </w:r>
      <w:hyperlink r:id="rId6" w:tooltip="France" w:history="1">
        <w:r w:rsidRPr="00A97505">
          <w:rPr>
            <w:rStyle w:val="Lienhypertexte"/>
            <w:rFonts w:asciiTheme="majorHAnsi" w:hAnsiTheme="majorHAnsi"/>
            <w:color w:val="auto"/>
            <w:u w:val="none"/>
          </w:rPr>
          <w:t>France</w:t>
        </w:r>
      </w:hyperlink>
      <w:r w:rsidRPr="00A97505">
        <w:rPr>
          <w:rFonts w:asciiTheme="majorHAnsi" w:hAnsiTheme="majorHAnsi"/>
        </w:rPr>
        <w:t xml:space="preserve">, un </w:t>
      </w:r>
      <w:hyperlink r:id="rId7" w:tooltip="Fichage en France" w:history="1">
        <w:r w:rsidRPr="00A97505">
          <w:rPr>
            <w:rStyle w:val="Lienhypertexte"/>
            <w:rFonts w:asciiTheme="majorHAnsi" w:hAnsiTheme="majorHAnsi"/>
            <w:color w:val="auto"/>
            <w:u w:val="none"/>
          </w:rPr>
          <w:t>fichier</w:t>
        </w:r>
      </w:hyperlink>
      <w:r w:rsidRPr="00A97505">
        <w:rPr>
          <w:rFonts w:asciiTheme="majorHAnsi" w:hAnsiTheme="majorHAnsi"/>
        </w:rPr>
        <w:t xml:space="preserve"> informatisé, recensant les condamnations pénales, tenu par un centre de traitement situé à </w:t>
      </w:r>
      <w:hyperlink r:id="rId8" w:tooltip="Nantes" w:history="1">
        <w:r w:rsidRPr="00A97505">
          <w:rPr>
            <w:rStyle w:val="Lienhypertexte"/>
            <w:rFonts w:asciiTheme="majorHAnsi" w:hAnsiTheme="majorHAnsi"/>
            <w:color w:val="auto"/>
            <w:u w:val="none"/>
          </w:rPr>
          <w:t>Nantes</w:t>
        </w:r>
      </w:hyperlink>
      <w:r w:rsidRPr="00A97505">
        <w:rPr>
          <w:rFonts w:asciiTheme="majorHAnsi" w:hAnsiTheme="majorHAnsi"/>
        </w:rPr>
        <w:t xml:space="preserve"> depuis </w:t>
      </w:r>
      <w:hyperlink r:id="rId9" w:tooltip="1966" w:history="1">
        <w:r w:rsidRPr="00A97505">
          <w:rPr>
            <w:rStyle w:val="Lienhypertexte"/>
            <w:rFonts w:asciiTheme="majorHAnsi" w:hAnsiTheme="majorHAnsi"/>
            <w:color w:val="auto"/>
            <w:u w:val="none"/>
          </w:rPr>
          <w:t>1966</w:t>
        </w:r>
      </w:hyperlink>
      <w:r w:rsidRPr="00A97505">
        <w:rPr>
          <w:rFonts w:asciiTheme="majorHAnsi" w:hAnsiTheme="majorHAnsi"/>
        </w:rPr>
        <w:t xml:space="preserve"> et placé sous l'autorité du </w:t>
      </w:r>
      <w:hyperlink r:id="rId10" w:tooltip="Ministère de la Justice (France)" w:history="1">
        <w:r w:rsidRPr="00A97505">
          <w:rPr>
            <w:rStyle w:val="Lienhypertexte"/>
            <w:rFonts w:asciiTheme="majorHAnsi" w:hAnsiTheme="majorHAnsi"/>
            <w:color w:val="auto"/>
            <w:u w:val="none"/>
          </w:rPr>
          <w:t>ministre de la Justice</w:t>
        </w:r>
      </w:hyperlink>
      <w:r w:rsidRPr="00A97505">
        <w:rPr>
          <w:rFonts w:asciiTheme="majorHAnsi" w:hAnsiTheme="majorHAnsi"/>
        </w:rPr>
        <w:t xml:space="preserve"> (</w:t>
      </w:r>
      <w:hyperlink r:id="rId11" w:tooltip="Direction des affaires criminelles et des grâces" w:history="1">
        <w:r w:rsidRPr="00A97505">
          <w:rPr>
            <w:rStyle w:val="Lienhypertexte"/>
            <w:rFonts w:asciiTheme="majorHAnsi" w:hAnsiTheme="majorHAnsi"/>
            <w:color w:val="auto"/>
            <w:u w:val="none"/>
          </w:rPr>
          <w:t>direction des affaires criminelles et des grâces</w:t>
        </w:r>
      </w:hyperlink>
      <w:r w:rsidRPr="00A97505">
        <w:rPr>
          <w:rFonts w:asciiTheme="majorHAnsi" w:hAnsiTheme="majorHAnsi"/>
        </w:rPr>
        <w:t xml:space="preserve">). </w:t>
      </w:r>
    </w:p>
    <w:p w:rsidR="00A97505" w:rsidRPr="00217767" w:rsidRDefault="00A97505" w:rsidP="00217767">
      <w:pPr>
        <w:pStyle w:val="Paragraphedeliste"/>
        <w:numPr>
          <w:ilvl w:val="0"/>
          <w:numId w:val="5"/>
        </w:numPr>
        <w:spacing w:before="100" w:beforeAutospacing="1" w:after="100" w:afterAutospacing="1" w:line="240" w:lineRule="auto"/>
        <w:jc w:val="both"/>
        <w:outlineLvl w:val="1"/>
        <w:rPr>
          <w:rFonts w:asciiTheme="majorHAnsi" w:eastAsia="Times New Roman" w:hAnsiTheme="majorHAnsi" w:cs="Times New Roman"/>
          <w:bCs/>
          <w:color w:val="FF0000"/>
          <w:sz w:val="36"/>
          <w:szCs w:val="36"/>
          <w:lang w:eastAsia="fr-FR"/>
        </w:rPr>
      </w:pPr>
      <w:r w:rsidRPr="00217767">
        <w:rPr>
          <w:rFonts w:asciiTheme="majorHAnsi" w:eastAsia="Times New Roman" w:hAnsiTheme="majorHAnsi" w:cs="Times New Roman"/>
          <w:bCs/>
          <w:color w:val="FF0000"/>
          <w:sz w:val="36"/>
          <w:szCs w:val="36"/>
          <w:lang w:eastAsia="fr-FR"/>
        </w:rPr>
        <w:t>Rôle</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Le casier judiciaire est établi afin de répondre à trois objectifs :</w:t>
      </w:r>
    </w:p>
    <w:p w:rsidR="00A97505" w:rsidRPr="00A97505" w:rsidRDefault="00A97505" w:rsidP="00217767">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mémoriser les condamnations pénales (ainsi qu'un ensemble d'autres décisions)</w:t>
      </w:r>
    </w:p>
    <w:p w:rsidR="00A97505" w:rsidRPr="00A97505" w:rsidRDefault="00A97505" w:rsidP="00217767">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gérer les informations dans le respect des règles légales d'effacement</w:t>
      </w:r>
    </w:p>
    <w:p w:rsidR="00A97505" w:rsidRPr="00A97505" w:rsidRDefault="00A97505" w:rsidP="00217767">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restituer ces informations sous forme de bulletins au contenu variable selon la nature du destinataire (juridictions, administrations, particuliers)</w:t>
      </w:r>
    </w:p>
    <w:p w:rsidR="00A97505" w:rsidRPr="00217767" w:rsidRDefault="00A97505" w:rsidP="00217767">
      <w:pPr>
        <w:pStyle w:val="Paragraphedeliste"/>
        <w:numPr>
          <w:ilvl w:val="0"/>
          <w:numId w:val="5"/>
        </w:numPr>
        <w:spacing w:before="100" w:beforeAutospacing="1" w:after="100" w:afterAutospacing="1" w:line="240" w:lineRule="auto"/>
        <w:jc w:val="both"/>
        <w:outlineLvl w:val="1"/>
        <w:rPr>
          <w:rFonts w:asciiTheme="majorHAnsi" w:eastAsia="Times New Roman" w:hAnsiTheme="majorHAnsi" w:cs="Times New Roman"/>
          <w:bCs/>
          <w:color w:val="FF0000"/>
          <w:sz w:val="36"/>
          <w:szCs w:val="36"/>
          <w:lang w:eastAsia="fr-FR"/>
        </w:rPr>
      </w:pPr>
      <w:r w:rsidRPr="00217767">
        <w:rPr>
          <w:rFonts w:asciiTheme="majorHAnsi" w:eastAsia="Times New Roman" w:hAnsiTheme="majorHAnsi" w:cs="Times New Roman"/>
          <w:bCs/>
          <w:color w:val="FF0000"/>
          <w:sz w:val="36"/>
          <w:szCs w:val="36"/>
          <w:lang w:eastAsia="fr-FR"/>
        </w:rPr>
        <w:t>Nature des informations enregistrées</w:t>
      </w:r>
    </w:p>
    <w:p w:rsidR="00A97505" w:rsidRPr="00A97505" w:rsidRDefault="00A97505" w:rsidP="00217767">
      <w:pPr>
        <w:spacing w:before="100" w:beforeAutospacing="1" w:after="100" w:afterAutospacing="1" w:line="240" w:lineRule="auto"/>
        <w:jc w:val="both"/>
        <w:outlineLvl w:val="1"/>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Condamnations prononcées par les juridictions pénales, y compris des condamnations étrangères transmises à la France en vertu de conventions internationales, ou exécutées en France. Depuis la loi du 12 décembre 2005, les condamnations pénales étrangères prononcées dans un état membre de l'Union européenne peuvent être retenues au titre de la récidive.</w:t>
      </w:r>
    </w:p>
    <w:p w:rsidR="00A97505" w:rsidRPr="00A97505" w:rsidRDefault="00A97505" w:rsidP="00217767">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certaines condamnations prononcées par les juridictions commerciales (liquidation judiciaire, faillite personnelle…)</w:t>
      </w:r>
    </w:p>
    <w:p w:rsidR="00A97505" w:rsidRPr="00A97505" w:rsidRDefault="00A97505" w:rsidP="00217767">
      <w:pPr>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certaines décisions civiles, administratives ou disciplinaires</w:t>
      </w:r>
    </w:p>
    <w:p w:rsidR="00A97505" w:rsidRPr="00217767" w:rsidRDefault="00A97505" w:rsidP="00217767">
      <w:pPr>
        <w:pStyle w:val="Paragraphedeliste"/>
        <w:numPr>
          <w:ilvl w:val="0"/>
          <w:numId w:val="5"/>
        </w:numPr>
        <w:spacing w:before="100" w:beforeAutospacing="1" w:after="100" w:afterAutospacing="1" w:line="240" w:lineRule="auto"/>
        <w:jc w:val="both"/>
        <w:outlineLvl w:val="1"/>
        <w:rPr>
          <w:rFonts w:asciiTheme="majorHAnsi" w:eastAsia="Times New Roman" w:hAnsiTheme="majorHAnsi" w:cs="Times New Roman"/>
          <w:bCs/>
          <w:color w:val="FF0000"/>
          <w:sz w:val="36"/>
          <w:szCs w:val="36"/>
          <w:lang w:eastAsia="fr-FR"/>
        </w:rPr>
      </w:pPr>
      <w:r w:rsidRPr="00217767">
        <w:rPr>
          <w:rFonts w:asciiTheme="majorHAnsi" w:eastAsia="Times New Roman" w:hAnsiTheme="majorHAnsi" w:cs="Times New Roman"/>
          <w:bCs/>
          <w:color w:val="FF0000"/>
          <w:sz w:val="36"/>
          <w:szCs w:val="36"/>
          <w:lang w:eastAsia="fr-FR"/>
        </w:rPr>
        <w:t>Les bulletins de casier judiciaire</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Connus également sous le nom d'extraits de casier judiciaire, les bulletins rassemblent tout ou partie des informations contenues dans le casier judiciaire. Ils sont de trois types :</w:t>
      </w:r>
    </w:p>
    <w:p w:rsidR="00A97505" w:rsidRPr="00217767" w:rsidRDefault="00A97505" w:rsidP="00217767">
      <w:pPr>
        <w:pStyle w:val="Paragraphedeliste"/>
        <w:numPr>
          <w:ilvl w:val="0"/>
          <w:numId w:val="6"/>
        </w:numPr>
        <w:spacing w:before="100" w:beforeAutospacing="1" w:after="100" w:afterAutospacing="1" w:line="240" w:lineRule="auto"/>
        <w:jc w:val="both"/>
        <w:outlineLvl w:val="2"/>
        <w:rPr>
          <w:rFonts w:asciiTheme="majorHAnsi" w:eastAsia="Times New Roman" w:hAnsiTheme="majorHAnsi" w:cs="Times New Roman"/>
          <w:bCs/>
          <w:color w:val="548DD4" w:themeColor="text2" w:themeTint="99"/>
          <w:sz w:val="27"/>
          <w:szCs w:val="27"/>
          <w:lang w:eastAsia="fr-FR"/>
        </w:rPr>
      </w:pPr>
      <w:r w:rsidRPr="00217767">
        <w:rPr>
          <w:rFonts w:asciiTheme="majorHAnsi" w:eastAsia="Times New Roman" w:hAnsiTheme="majorHAnsi" w:cs="Times New Roman"/>
          <w:bCs/>
          <w:color w:val="548DD4" w:themeColor="text2" w:themeTint="99"/>
          <w:sz w:val="27"/>
          <w:szCs w:val="27"/>
          <w:lang w:eastAsia="fr-FR"/>
        </w:rPr>
        <w:t>Bulletin n</w:t>
      </w:r>
      <w:r w:rsidRPr="00217767">
        <w:rPr>
          <w:rFonts w:asciiTheme="majorHAnsi" w:eastAsia="Times New Roman" w:hAnsiTheme="majorHAnsi" w:cs="Times New Roman"/>
          <w:bCs/>
          <w:color w:val="548DD4" w:themeColor="text2" w:themeTint="99"/>
          <w:sz w:val="27"/>
          <w:szCs w:val="27"/>
          <w:vertAlign w:val="superscript"/>
          <w:lang w:eastAsia="fr-FR"/>
        </w:rPr>
        <w:t>o</w:t>
      </w:r>
      <w:r w:rsidRPr="00217767">
        <w:rPr>
          <w:rFonts w:asciiTheme="majorHAnsi" w:eastAsia="Times New Roman" w:hAnsiTheme="majorHAnsi" w:cs="Times New Roman"/>
          <w:bCs/>
          <w:color w:val="548DD4" w:themeColor="text2" w:themeTint="99"/>
          <w:sz w:val="27"/>
          <w:szCs w:val="27"/>
          <w:lang w:eastAsia="fr-FR"/>
        </w:rPr>
        <w:t> 1</w:t>
      </w:r>
    </w:p>
    <w:p w:rsidR="00A97505" w:rsidRPr="00217767" w:rsidRDefault="00A97505" w:rsidP="00217767">
      <w:pPr>
        <w:spacing w:before="100" w:beforeAutospacing="1" w:after="100" w:afterAutospacing="1" w:line="240" w:lineRule="auto"/>
        <w:jc w:val="both"/>
        <w:rPr>
          <w:rFonts w:asciiTheme="majorHAnsi" w:eastAsia="Times New Roman" w:hAnsiTheme="majorHAnsi" w:cs="Times New Roman"/>
          <w:b/>
          <w:color w:val="548DD4" w:themeColor="text2" w:themeTint="99"/>
          <w:sz w:val="24"/>
          <w:szCs w:val="24"/>
          <w:u w:val="single"/>
          <w:lang w:eastAsia="fr-FR"/>
        </w:rPr>
      </w:pPr>
      <w:r w:rsidRPr="00A97505">
        <w:rPr>
          <w:rFonts w:asciiTheme="majorHAnsi" w:eastAsia="Times New Roman" w:hAnsiTheme="majorHAnsi" w:cs="Times New Roman"/>
          <w:sz w:val="24"/>
          <w:szCs w:val="24"/>
          <w:lang w:eastAsia="fr-FR"/>
        </w:rPr>
        <w:t>Il comporte l'ensemble des condamnations et des décisions portées au casier judiciaire (certaines de ces informations sont retirées après expiration de délais, amnisties, réhabilitations). Le bulletin n</w:t>
      </w:r>
      <w:r w:rsidRPr="00A97505">
        <w:rPr>
          <w:rFonts w:asciiTheme="majorHAnsi" w:eastAsia="Times New Roman" w:hAnsiTheme="majorHAnsi" w:cs="Times New Roman"/>
          <w:sz w:val="24"/>
          <w:szCs w:val="24"/>
          <w:vertAlign w:val="superscript"/>
          <w:lang w:eastAsia="fr-FR"/>
        </w:rPr>
        <w:t>o</w:t>
      </w:r>
      <w:r w:rsidRPr="00A97505">
        <w:rPr>
          <w:rFonts w:asciiTheme="majorHAnsi" w:eastAsia="Times New Roman" w:hAnsiTheme="majorHAnsi" w:cs="Times New Roman"/>
          <w:sz w:val="24"/>
          <w:szCs w:val="24"/>
          <w:lang w:eastAsia="fr-FR"/>
        </w:rPr>
        <w:t xml:space="preserve"> 1 n'est remis </w:t>
      </w:r>
      <w:r w:rsidRPr="00A97505">
        <w:rPr>
          <w:rFonts w:asciiTheme="majorHAnsi" w:eastAsia="Times New Roman" w:hAnsiTheme="majorHAnsi" w:cs="Times New Roman"/>
          <w:b/>
          <w:sz w:val="24"/>
          <w:szCs w:val="24"/>
          <w:u w:val="single"/>
          <w:lang w:eastAsia="fr-FR"/>
        </w:rPr>
        <w:t>qu'aux autorités judiciaires et aux greffes pénitentiaires.</w:t>
      </w:r>
    </w:p>
    <w:p w:rsidR="00A97505" w:rsidRPr="00A97505" w:rsidRDefault="00A97505" w:rsidP="00217767">
      <w:pPr>
        <w:pStyle w:val="Paragraphedeliste"/>
        <w:numPr>
          <w:ilvl w:val="0"/>
          <w:numId w:val="6"/>
        </w:numPr>
        <w:spacing w:before="100" w:beforeAutospacing="1" w:after="100" w:afterAutospacing="1" w:line="240" w:lineRule="auto"/>
        <w:jc w:val="both"/>
        <w:outlineLvl w:val="2"/>
        <w:rPr>
          <w:rFonts w:asciiTheme="majorHAnsi" w:eastAsia="Times New Roman" w:hAnsiTheme="majorHAnsi" w:cs="Times New Roman"/>
          <w:bCs/>
          <w:sz w:val="27"/>
          <w:szCs w:val="27"/>
          <w:lang w:eastAsia="fr-FR"/>
        </w:rPr>
      </w:pPr>
      <w:r w:rsidRPr="00217767">
        <w:rPr>
          <w:rFonts w:asciiTheme="majorHAnsi" w:eastAsia="Times New Roman" w:hAnsiTheme="majorHAnsi" w:cs="Times New Roman"/>
          <w:bCs/>
          <w:color w:val="548DD4" w:themeColor="text2" w:themeTint="99"/>
          <w:sz w:val="27"/>
          <w:szCs w:val="27"/>
          <w:lang w:eastAsia="fr-FR"/>
        </w:rPr>
        <w:t>B</w:t>
      </w:r>
      <w:r w:rsidRPr="00A97505">
        <w:rPr>
          <w:rFonts w:asciiTheme="majorHAnsi" w:eastAsia="Times New Roman" w:hAnsiTheme="majorHAnsi" w:cs="Times New Roman"/>
          <w:bCs/>
          <w:sz w:val="27"/>
          <w:szCs w:val="27"/>
          <w:lang w:eastAsia="fr-FR"/>
        </w:rPr>
        <w:t>ulletin n</w:t>
      </w:r>
      <w:r w:rsidRPr="00A97505">
        <w:rPr>
          <w:rFonts w:asciiTheme="majorHAnsi" w:eastAsia="Times New Roman" w:hAnsiTheme="majorHAnsi" w:cs="Times New Roman"/>
          <w:bCs/>
          <w:sz w:val="27"/>
          <w:szCs w:val="27"/>
          <w:vertAlign w:val="superscript"/>
          <w:lang w:eastAsia="fr-FR"/>
        </w:rPr>
        <w:t>o</w:t>
      </w:r>
      <w:r w:rsidRPr="00A97505">
        <w:rPr>
          <w:rFonts w:asciiTheme="majorHAnsi" w:eastAsia="Times New Roman" w:hAnsiTheme="majorHAnsi" w:cs="Times New Roman"/>
          <w:bCs/>
          <w:sz w:val="27"/>
          <w:szCs w:val="27"/>
          <w:lang w:eastAsia="fr-FR"/>
        </w:rPr>
        <w:t> 2</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Il comporte la plupart des condamnations figurant au bulletin n</w:t>
      </w:r>
      <w:r w:rsidRPr="00A97505">
        <w:rPr>
          <w:rFonts w:asciiTheme="majorHAnsi" w:eastAsia="Times New Roman" w:hAnsiTheme="majorHAnsi" w:cs="Times New Roman"/>
          <w:sz w:val="24"/>
          <w:szCs w:val="24"/>
          <w:vertAlign w:val="superscript"/>
          <w:lang w:eastAsia="fr-FR"/>
        </w:rPr>
        <w:t>o</w:t>
      </w:r>
      <w:r w:rsidRPr="00A97505">
        <w:rPr>
          <w:rFonts w:asciiTheme="majorHAnsi" w:eastAsia="Times New Roman" w:hAnsiTheme="majorHAnsi" w:cs="Times New Roman"/>
          <w:sz w:val="24"/>
          <w:szCs w:val="24"/>
          <w:lang w:eastAsia="fr-FR"/>
        </w:rPr>
        <w:t xml:space="preserve"> 1 à l'exception notamment des condamnations prononcées à l'encontre des mineurs, des décisions </w:t>
      </w:r>
      <w:r w:rsidRPr="00A97505">
        <w:rPr>
          <w:rFonts w:asciiTheme="majorHAnsi" w:eastAsia="Times New Roman" w:hAnsiTheme="majorHAnsi" w:cs="Times New Roman"/>
          <w:sz w:val="24"/>
          <w:szCs w:val="24"/>
          <w:lang w:eastAsia="fr-FR"/>
        </w:rPr>
        <w:lastRenderedPageBreak/>
        <w:t>étrangères, des contraventions, et des condamnations avec sursis lorsque le délai d'épreuve a expiré.</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Il est possible de demander au juge qu'une condamnation ne figure pas au bulletin n</w:t>
      </w:r>
      <w:r w:rsidRPr="00A97505">
        <w:rPr>
          <w:rFonts w:asciiTheme="majorHAnsi" w:eastAsia="Times New Roman" w:hAnsiTheme="majorHAnsi" w:cs="Times New Roman"/>
          <w:sz w:val="24"/>
          <w:szCs w:val="24"/>
          <w:vertAlign w:val="superscript"/>
          <w:lang w:eastAsia="fr-FR"/>
        </w:rPr>
        <w:t>o</w:t>
      </w:r>
      <w:r w:rsidRPr="00A97505">
        <w:rPr>
          <w:rFonts w:asciiTheme="majorHAnsi" w:eastAsia="Times New Roman" w:hAnsiTheme="majorHAnsi" w:cs="Times New Roman"/>
          <w:sz w:val="24"/>
          <w:szCs w:val="24"/>
          <w:lang w:eastAsia="fr-FR"/>
        </w:rPr>
        <w:t> 2 (celle-ci demeure inscrite cependant sur le bulletin n</w:t>
      </w:r>
      <w:r w:rsidRPr="00A97505">
        <w:rPr>
          <w:rFonts w:asciiTheme="majorHAnsi" w:eastAsia="Times New Roman" w:hAnsiTheme="majorHAnsi" w:cs="Times New Roman"/>
          <w:sz w:val="24"/>
          <w:szCs w:val="24"/>
          <w:vertAlign w:val="superscript"/>
          <w:lang w:eastAsia="fr-FR"/>
        </w:rPr>
        <w:t>o</w:t>
      </w:r>
      <w:r w:rsidRPr="00A97505">
        <w:rPr>
          <w:rFonts w:asciiTheme="majorHAnsi" w:eastAsia="Times New Roman" w:hAnsiTheme="majorHAnsi" w:cs="Times New Roman"/>
          <w:sz w:val="24"/>
          <w:szCs w:val="24"/>
          <w:lang w:eastAsia="fr-FR"/>
        </w:rPr>
        <w:t xml:space="preserve"> 1). Toutefois, les nouvelles dispositions de la </w:t>
      </w:r>
      <w:hyperlink r:id="rId12" w:tooltip="Loi Perben II du 9 mars 2004" w:history="1">
        <w:r w:rsidRPr="00A97505">
          <w:rPr>
            <w:rFonts w:asciiTheme="majorHAnsi" w:eastAsia="Times New Roman" w:hAnsiTheme="majorHAnsi" w:cs="Times New Roman"/>
            <w:sz w:val="24"/>
            <w:szCs w:val="24"/>
            <w:lang w:eastAsia="fr-FR"/>
          </w:rPr>
          <w:t>loi dite Perben II</w:t>
        </w:r>
      </w:hyperlink>
      <w:r w:rsidRPr="00A97505">
        <w:rPr>
          <w:rFonts w:asciiTheme="majorHAnsi" w:eastAsia="Times New Roman" w:hAnsiTheme="majorHAnsi" w:cs="Times New Roman"/>
          <w:sz w:val="24"/>
          <w:szCs w:val="24"/>
          <w:lang w:eastAsia="fr-FR"/>
        </w:rPr>
        <w:t xml:space="preserve"> (Loi du 9 mars 2004 complétant l'article 775 CPP) empêchent les auteurs de certains délits (infractions sexuelles ou violentes visées à l'article 706-47 CPP) de bénéficier de cet effacement.</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Le bulletin n</w:t>
      </w:r>
      <w:r w:rsidRPr="00A97505">
        <w:rPr>
          <w:rFonts w:asciiTheme="majorHAnsi" w:eastAsia="Times New Roman" w:hAnsiTheme="majorHAnsi" w:cs="Times New Roman"/>
          <w:sz w:val="24"/>
          <w:szCs w:val="24"/>
          <w:vertAlign w:val="superscript"/>
          <w:lang w:eastAsia="fr-FR"/>
        </w:rPr>
        <w:t>o</w:t>
      </w:r>
      <w:r w:rsidRPr="00A97505">
        <w:rPr>
          <w:rFonts w:asciiTheme="majorHAnsi" w:eastAsia="Times New Roman" w:hAnsiTheme="majorHAnsi" w:cs="Times New Roman"/>
          <w:sz w:val="24"/>
          <w:szCs w:val="24"/>
          <w:lang w:eastAsia="fr-FR"/>
        </w:rPr>
        <w:t xml:space="preserve"> 2 est destiné </w:t>
      </w:r>
      <w:r w:rsidRPr="00A97505">
        <w:rPr>
          <w:rFonts w:asciiTheme="majorHAnsi" w:eastAsia="Times New Roman" w:hAnsiTheme="majorHAnsi" w:cs="Times New Roman"/>
          <w:b/>
          <w:sz w:val="24"/>
          <w:szCs w:val="24"/>
          <w:u w:val="single"/>
          <w:lang w:eastAsia="fr-FR"/>
        </w:rPr>
        <w:t>à certaines autorités administratives et militaires pour des motifs précis</w:t>
      </w:r>
      <w:r w:rsidRPr="00A97505">
        <w:rPr>
          <w:rFonts w:asciiTheme="majorHAnsi" w:eastAsia="Times New Roman" w:hAnsiTheme="majorHAnsi" w:cs="Times New Roman"/>
          <w:sz w:val="24"/>
          <w:szCs w:val="24"/>
          <w:lang w:eastAsia="fr-FR"/>
        </w:rPr>
        <w:t> : accès à un emploi public, obtention d'une distinction honorifique par exemple. Certains employeurs privés (travail auprès de mineurs par exemple) y ont également accès.</w:t>
      </w:r>
    </w:p>
    <w:p w:rsidR="00A97505" w:rsidRPr="00217767" w:rsidRDefault="00A97505" w:rsidP="00217767">
      <w:pPr>
        <w:pStyle w:val="Paragraphedeliste"/>
        <w:numPr>
          <w:ilvl w:val="0"/>
          <w:numId w:val="6"/>
        </w:numPr>
        <w:spacing w:before="100" w:beforeAutospacing="1" w:after="100" w:afterAutospacing="1" w:line="240" w:lineRule="auto"/>
        <w:jc w:val="both"/>
        <w:outlineLvl w:val="2"/>
        <w:rPr>
          <w:rFonts w:asciiTheme="majorHAnsi" w:eastAsia="Times New Roman" w:hAnsiTheme="majorHAnsi" w:cs="Times New Roman"/>
          <w:bCs/>
          <w:color w:val="548DD4" w:themeColor="text2" w:themeTint="99"/>
          <w:sz w:val="27"/>
          <w:szCs w:val="27"/>
          <w:lang w:eastAsia="fr-FR"/>
        </w:rPr>
      </w:pPr>
      <w:r w:rsidRPr="00217767">
        <w:rPr>
          <w:rFonts w:asciiTheme="majorHAnsi" w:eastAsia="Times New Roman" w:hAnsiTheme="majorHAnsi" w:cs="Times New Roman"/>
          <w:bCs/>
          <w:color w:val="548DD4" w:themeColor="text2" w:themeTint="99"/>
          <w:sz w:val="27"/>
          <w:szCs w:val="27"/>
          <w:lang w:eastAsia="fr-FR"/>
        </w:rPr>
        <w:t>Bulletin n</w:t>
      </w:r>
      <w:r w:rsidRPr="00217767">
        <w:rPr>
          <w:rFonts w:asciiTheme="majorHAnsi" w:eastAsia="Times New Roman" w:hAnsiTheme="majorHAnsi" w:cs="Times New Roman"/>
          <w:bCs/>
          <w:color w:val="548DD4" w:themeColor="text2" w:themeTint="99"/>
          <w:sz w:val="27"/>
          <w:szCs w:val="27"/>
          <w:vertAlign w:val="superscript"/>
          <w:lang w:eastAsia="fr-FR"/>
        </w:rPr>
        <w:t>o</w:t>
      </w:r>
      <w:r w:rsidRPr="00217767">
        <w:rPr>
          <w:rFonts w:asciiTheme="majorHAnsi" w:eastAsia="Times New Roman" w:hAnsiTheme="majorHAnsi" w:cs="Times New Roman"/>
          <w:bCs/>
          <w:color w:val="548DD4" w:themeColor="text2" w:themeTint="99"/>
          <w:sz w:val="27"/>
          <w:szCs w:val="27"/>
          <w:lang w:eastAsia="fr-FR"/>
        </w:rPr>
        <w:t> 3</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Le bulletin n</w:t>
      </w:r>
      <w:r w:rsidRPr="00A97505">
        <w:rPr>
          <w:rFonts w:asciiTheme="majorHAnsi" w:eastAsia="Times New Roman" w:hAnsiTheme="majorHAnsi" w:cs="Times New Roman"/>
          <w:sz w:val="24"/>
          <w:szCs w:val="24"/>
          <w:vertAlign w:val="superscript"/>
          <w:lang w:eastAsia="fr-FR"/>
        </w:rPr>
        <w:t>o</w:t>
      </w:r>
      <w:r w:rsidRPr="00A97505">
        <w:rPr>
          <w:rFonts w:asciiTheme="majorHAnsi" w:eastAsia="Times New Roman" w:hAnsiTheme="majorHAnsi" w:cs="Times New Roman"/>
          <w:sz w:val="24"/>
          <w:szCs w:val="24"/>
          <w:lang w:eastAsia="fr-FR"/>
        </w:rPr>
        <w:t> 3 ne comporte que les condamnations pour crime ou délit à un emprisonnement de plus de deux ans sans aucun sursis (ou dont le sursis a été entièrement révoqué), les peines d'emprisonnement inférieures à deux ans si la juridiction a ordonné leur mention au bulletin n</w:t>
      </w:r>
      <w:r w:rsidRPr="00A97505">
        <w:rPr>
          <w:rFonts w:asciiTheme="majorHAnsi" w:eastAsia="Times New Roman" w:hAnsiTheme="majorHAnsi" w:cs="Times New Roman"/>
          <w:sz w:val="24"/>
          <w:szCs w:val="24"/>
          <w:vertAlign w:val="superscript"/>
          <w:lang w:eastAsia="fr-FR"/>
        </w:rPr>
        <w:t>o</w:t>
      </w:r>
      <w:r w:rsidRPr="00A97505">
        <w:rPr>
          <w:rFonts w:asciiTheme="majorHAnsi" w:eastAsia="Times New Roman" w:hAnsiTheme="majorHAnsi" w:cs="Times New Roman"/>
          <w:sz w:val="24"/>
          <w:szCs w:val="24"/>
          <w:lang w:eastAsia="fr-FR"/>
        </w:rPr>
        <w:t> 3, les interdictions, déchéances ou incapacités sans sursis pendant leur durée, les peines de suivi socio-judiciaire ou d'interdiction d'exercer une activité professionnelle ou bénévole impliquant un contact habituel avec des mineurs pendant la durée de la mesure.</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Il est possible de demander au juge qu'une condamnation ne figure pas au bulletin n</w:t>
      </w:r>
      <w:r w:rsidRPr="00A97505">
        <w:rPr>
          <w:rFonts w:asciiTheme="majorHAnsi" w:eastAsia="Times New Roman" w:hAnsiTheme="majorHAnsi" w:cs="Times New Roman"/>
          <w:sz w:val="24"/>
          <w:szCs w:val="24"/>
          <w:vertAlign w:val="superscript"/>
          <w:lang w:eastAsia="fr-FR"/>
        </w:rPr>
        <w:t>o</w:t>
      </w:r>
      <w:r w:rsidRPr="00A97505">
        <w:rPr>
          <w:rFonts w:asciiTheme="majorHAnsi" w:eastAsia="Times New Roman" w:hAnsiTheme="majorHAnsi" w:cs="Times New Roman"/>
          <w:sz w:val="24"/>
          <w:szCs w:val="24"/>
          <w:lang w:eastAsia="fr-FR"/>
        </w:rPr>
        <w:t> 3 (celle-ci demeure inscrite cependant sur les bulletins n</w:t>
      </w:r>
      <w:r w:rsidRPr="00A97505">
        <w:rPr>
          <w:rFonts w:asciiTheme="majorHAnsi" w:eastAsia="Times New Roman" w:hAnsiTheme="majorHAnsi" w:cs="Times New Roman"/>
          <w:sz w:val="24"/>
          <w:szCs w:val="24"/>
          <w:vertAlign w:val="superscript"/>
          <w:lang w:eastAsia="fr-FR"/>
        </w:rPr>
        <w:t>o</w:t>
      </w:r>
      <w:r w:rsidRPr="00A97505">
        <w:rPr>
          <w:rFonts w:asciiTheme="majorHAnsi" w:eastAsia="Times New Roman" w:hAnsiTheme="majorHAnsi" w:cs="Times New Roman"/>
          <w:sz w:val="24"/>
          <w:szCs w:val="24"/>
          <w:lang w:eastAsia="fr-FR"/>
        </w:rPr>
        <w:t> 1 et n</w:t>
      </w:r>
      <w:r w:rsidRPr="00A97505">
        <w:rPr>
          <w:rFonts w:asciiTheme="majorHAnsi" w:eastAsia="Times New Roman" w:hAnsiTheme="majorHAnsi" w:cs="Times New Roman"/>
          <w:sz w:val="24"/>
          <w:szCs w:val="24"/>
          <w:vertAlign w:val="superscript"/>
          <w:lang w:eastAsia="fr-FR"/>
        </w:rPr>
        <w:t>o</w:t>
      </w:r>
      <w:r w:rsidRPr="00A97505">
        <w:rPr>
          <w:rFonts w:asciiTheme="majorHAnsi" w:eastAsia="Times New Roman" w:hAnsiTheme="majorHAnsi" w:cs="Times New Roman"/>
          <w:sz w:val="24"/>
          <w:szCs w:val="24"/>
          <w:lang w:eastAsia="fr-FR"/>
        </w:rPr>
        <w:t> 2).</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 xml:space="preserve">Ce bulletin ne peut </w:t>
      </w:r>
      <w:r w:rsidRPr="00A97505">
        <w:rPr>
          <w:rFonts w:asciiTheme="majorHAnsi" w:eastAsia="Times New Roman" w:hAnsiTheme="majorHAnsi" w:cs="Times New Roman"/>
          <w:b/>
          <w:sz w:val="24"/>
          <w:szCs w:val="24"/>
          <w:u w:val="single"/>
          <w:lang w:eastAsia="fr-FR"/>
        </w:rPr>
        <w:t>être remis qu'à l'intéressé lui-même, ou à son représentant légal</w:t>
      </w:r>
      <w:r w:rsidRPr="00A97505">
        <w:rPr>
          <w:rFonts w:asciiTheme="majorHAnsi" w:eastAsia="Times New Roman" w:hAnsiTheme="majorHAnsi" w:cs="Times New Roman"/>
          <w:sz w:val="24"/>
          <w:szCs w:val="24"/>
          <w:lang w:eastAsia="fr-FR"/>
        </w:rPr>
        <w:t>.</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 xml:space="preserve">Pour les personnes ayant la nationalité française, la demande peut être faite directement et gratuitement sur </w:t>
      </w:r>
      <w:hyperlink r:id="rId13" w:history="1">
        <w:r w:rsidRPr="00A97505">
          <w:rPr>
            <w:rFonts w:asciiTheme="majorHAnsi" w:eastAsia="Times New Roman" w:hAnsiTheme="majorHAnsi" w:cs="Times New Roman"/>
            <w:sz w:val="24"/>
            <w:szCs w:val="24"/>
            <w:lang w:eastAsia="fr-FR"/>
          </w:rPr>
          <w:t>http://www.cjn.justice.gouv.fr</w:t>
        </w:r>
      </w:hyperlink>
    </w:p>
    <w:p w:rsidR="00A97505" w:rsidRPr="00217767" w:rsidRDefault="00A97505" w:rsidP="00217767">
      <w:pPr>
        <w:spacing w:before="100" w:beforeAutospacing="1" w:after="100" w:afterAutospacing="1" w:line="240" w:lineRule="auto"/>
        <w:jc w:val="both"/>
        <w:outlineLvl w:val="2"/>
        <w:rPr>
          <w:rFonts w:asciiTheme="majorHAnsi" w:eastAsia="Times New Roman" w:hAnsiTheme="majorHAnsi" w:cs="Times New Roman"/>
          <w:bCs/>
          <w:i/>
          <w:color w:val="7030A0"/>
          <w:sz w:val="27"/>
          <w:szCs w:val="27"/>
          <w:lang w:eastAsia="fr-FR"/>
        </w:rPr>
      </w:pPr>
      <w:r w:rsidRPr="00217767">
        <w:rPr>
          <w:rFonts w:asciiTheme="majorHAnsi" w:eastAsia="Times New Roman" w:hAnsiTheme="majorHAnsi" w:cs="Times New Roman"/>
          <w:bCs/>
          <w:i/>
          <w:color w:val="7030A0"/>
          <w:sz w:val="27"/>
          <w:szCs w:val="27"/>
          <w:lang w:eastAsia="fr-FR"/>
        </w:rPr>
        <w:t>Exclusions et effacement</w:t>
      </w:r>
    </w:p>
    <w:p w:rsid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Les condamnations figurant normalement au bulletin numéro 2 ou 3 peuvent en être exclues à l'audience ou par jugement ultérieur, sur requête auprès du tribunal</w:t>
      </w:r>
      <w:r>
        <w:rPr>
          <w:rFonts w:asciiTheme="majorHAnsi" w:eastAsia="Times New Roman" w:hAnsiTheme="majorHAnsi" w:cs="Times New Roman"/>
          <w:sz w:val="24"/>
          <w:szCs w:val="24"/>
          <w:lang w:eastAsia="fr-FR"/>
        </w:rPr>
        <w:t xml:space="preserve"> qui a prononcé la condamnation.</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Sont effacées les condamnations en cas :</w:t>
      </w:r>
    </w:p>
    <w:p w:rsidR="00A97505" w:rsidRPr="00A97505" w:rsidRDefault="00A97505" w:rsidP="00217767">
      <w:pPr>
        <w:numPr>
          <w:ilvl w:val="0"/>
          <w:numId w:val="3"/>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d’</w:t>
      </w:r>
      <w:hyperlink r:id="rId14" w:tooltip="Amnistie" w:history="1">
        <w:r w:rsidRPr="00A97505">
          <w:rPr>
            <w:rFonts w:asciiTheme="majorHAnsi" w:eastAsia="Times New Roman" w:hAnsiTheme="majorHAnsi" w:cs="Times New Roman"/>
            <w:sz w:val="24"/>
            <w:szCs w:val="24"/>
            <w:lang w:eastAsia="fr-FR"/>
          </w:rPr>
          <w:t>amnistie</w:t>
        </w:r>
      </w:hyperlink>
    </w:p>
    <w:p w:rsidR="00A97505" w:rsidRDefault="00A97505" w:rsidP="00217767">
      <w:pPr>
        <w:numPr>
          <w:ilvl w:val="0"/>
          <w:numId w:val="3"/>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 xml:space="preserve">de </w:t>
      </w:r>
      <w:hyperlink r:id="rId15" w:tooltip="Réhabilitation en droit français" w:history="1">
        <w:r w:rsidRPr="00A97505">
          <w:rPr>
            <w:rFonts w:asciiTheme="majorHAnsi" w:eastAsia="Times New Roman" w:hAnsiTheme="majorHAnsi" w:cs="Times New Roman"/>
            <w:sz w:val="24"/>
            <w:szCs w:val="24"/>
            <w:lang w:eastAsia="fr-FR"/>
          </w:rPr>
          <w:t>réhabilitation</w:t>
        </w:r>
      </w:hyperlink>
      <w:r w:rsidRPr="00A97505">
        <w:rPr>
          <w:rFonts w:asciiTheme="majorHAnsi" w:eastAsia="Times New Roman" w:hAnsiTheme="majorHAnsi" w:cs="Times New Roman"/>
          <w:sz w:val="24"/>
          <w:szCs w:val="24"/>
          <w:lang w:eastAsia="fr-FR"/>
        </w:rPr>
        <w:t xml:space="preserve"> de plein droit ou judiciaire </w:t>
      </w:r>
    </w:p>
    <w:p w:rsidR="00A97505" w:rsidRPr="00A97505" w:rsidRDefault="00A97505" w:rsidP="00217767">
      <w:pPr>
        <w:numPr>
          <w:ilvl w:val="0"/>
          <w:numId w:val="3"/>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les condamnations de plus de 40 ans (date de prononcé), sans nouvelle peine criminelle ou correctionnelle</w:t>
      </w:r>
    </w:p>
    <w:p w:rsidR="00A97505" w:rsidRPr="00A97505" w:rsidRDefault="00A97505" w:rsidP="00217767">
      <w:pPr>
        <w:numPr>
          <w:ilvl w:val="0"/>
          <w:numId w:val="3"/>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les condamnations non avenues sont retirées du B1 à l'issue d'un délai emprunté à celui de la réhabilitation légale (article 769 3</w:t>
      </w:r>
      <w:r w:rsidRPr="00A97505">
        <w:rPr>
          <w:rFonts w:asciiTheme="majorHAnsi" w:eastAsia="Times New Roman" w:hAnsiTheme="majorHAnsi" w:cs="Times New Roman"/>
          <w:sz w:val="24"/>
          <w:szCs w:val="24"/>
          <w:vertAlign w:val="superscript"/>
          <w:lang w:eastAsia="fr-FR"/>
        </w:rPr>
        <w:t>e</w:t>
      </w:r>
      <w:r w:rsidRPr="00A97505">
        <w:rPr>
          <w:rFonts w:asciiTheme="majorHAnsi" w:eastAsia="Times New Roman" w:hAnsiTheme="majorHAnsi" w:cs="Times New Roman"/>
          <w:sz w:val="24"/>
          <w:szCs w:val="24"/>
          <w:lang w:eastAsia="fr-FR"/>
        </w:rPr>
        <w:t xml:space="preserve"> CPP qui renvoie aux délais de 133-13 du CP) : la loi du 5 mars 2007 a également abrogé cette disposition, et les </w:t>
      </w:r>
      <w:r w:rsidRPr="00A97505">
        <w:rPr>
          <w:rFonts w:asciiTheme="majorHAnsi" w:eastAsia="Times New Roman" w:hAnsiTheme="majorHAnsi" w:cs="Times New Roman"/>
          <w:sz w:val="24"/>
          <w:szCs w:val="24"/>
          <w:lang w:eastAsia="fr-FR"/>
        </w:rPr>
        <w:lastRenderedPageBreak/>
        <w:t>condamnations avec sursis relèvent désormais également de la réhabilitation (mais sont effacées du B2 à la date où elles deviennent non-avenues)</w:t>
      </w:r>
    </w:p>
    <w:p w:rsidR="00A97505" w:rsidRPr="00A97505" w:rsidRDefault="00A97505" w:rsidP="00217767">
      <w:pPr>
        <w:numPr>
          <w:ilvl w:val="0"/>
          <w:numId w:val="3"/>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les contraventions ou les compositions pénales, 3 ans après qu’elles sont devenues définitives, sauf nouvelle condamnation.</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REMARQUE : Il est également possible sous certaines conditions d'obtenir un effacement du bulletin n</w:t>
      </w:r>
      <w:r w:rsidRPr="00A97505">
        <w:rPr>
          <w:rFonts w:asciiTheme="majorHAnsi" w:eastAsia="Times New Roman" w:hAnsiTheme="majorHAnsi" w:cs="Times New Roman"/>
          <w:sz w:val="24"/>
          <w:szCs w:val="24"/>
          <w:vertAlign w:val="superscript"/>
          <w:lang w:eastAsia="fr-FR"/>
        </w:rPr>
        <w:t>o</w:t>
      </w:r>
      <w:r w:rsidRPr="00A97505">
        <w:rPr>
          <w:rFonts w:asciiTheme="majorHAnsi" w:eastAsia="Times New Roman" w:hAnsiTheme="majorHAnsi" w:cs="Times New Roman"/>
          <w:sz w:val="24"/>
          <w:szCs w:val="24"/>
          <w:lang w:eastAsia="fr-FR"/>
        </w:rPr>
        <w:t> 2 du casier judiciaire en justice. Il faut pour cela introduire des requêtes en désinscription du casier judiciaire.</w:t>
      </w:r>
    </w:p>
    <w:p w:rsidR="00A97505" w:rsidRPr="00A97505" w:rsidRDefault="00A97505" w:rsidP="00217767">
      <w:pPr>
        <w:spacing w:before="100" w:beforeAutospacing="1" w:after="100" w:afterAutospacing="1" w:line="240" w:lineRule="auto"/>
        <w:jc w:val="both"/>
        <w:outlineLvl w:val="1"/>
        <w:rPr>
          <w:rFonts w:asciiTheme="majorHAnsi" w:eastAsia="Times New Roman" w:hAnsiTheme="majorHAnsi" w:cs="Times New Roman"/>
          <w:bCs/>
          <w:sz w:val="36"/>
          <w:szCs w:val="36"/>
          <w:lang w:eastAsia="fr-FR"/>
        </w:rPr>
      </w:pPr>
      <w:r w:rsidRPr="00A97505">
        <w:rPr>
          <w:rFonts w:asciiTheme="majorHAnsi" w:eastAsia="Times New Roman" w:hAnsiTheme="majorHAnsi" w:cs="Times New Roman"/>
          <w:bCs/>
          <w:sz w:val="36"/>
          <w:szCs w:val="36"/>
          <w:lang w:eastAsia="fr-FR"/>
        </w:rPr>
        <w:t>Confidentialité</w:t>
      </w:r>
    </w:p>
    <w:p w:rsidR="00A97505" w:rsidRPr="00A97505" w:rsidRDefault="00A97505" w:rsidP="00217767">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97505">
        <w:rPr>
          <w:rFonts w:asciiTheme="majorHAnsi" w:eastAsia="Times New Roman" w:hAnsiTheme="majorHAnsi" w:cs="Times New Roman"/>
          <w:sz w:val="24"/>
          <w:szCs w:val="24"/>
          <w:lang w:eastAsia="fr-FR"/>
        </w:rPr>
        <w:t>L'accès au casier judiciaire est prévu par la loi : le B1 n'est délivré qu'aux autorités judiciaires, le B2 principalement à certaines administrations telles que l'armée, le B3 n'est délivré qu'à l'intéressé lui-même</w:t>
      </w:r>
      <w:hyperlink r:id="rId16" w:anchor="cite_note-1" w:history="1">
        <w:r w:rsidRPr="00A97505">
          <w:rPr>
            <w:rFonts w:asciiTheme="majorHAnsi" w:eastAsia="Times New Roman" w:hAnsiTheme="majorHAnsi" w:cs="Times New Roman"/>
            <w:sz w:val="24"/>
            <w:szCs w:val="24"/>
            <w:vertAlign w:val="superscript"/>
            <w:lang w:eastAsia="fr-FR"/>
          </w:rPr>
          <w:t>2</w:t>
        </w:r>
      </w:hyperlink>
      <w:r w:rsidRPr="00A97505">
        <w:rPr>
          <w:rFonts w:asciiTheme="majorHAnsi" w:eastAsia="Times New Roman" w:hAnsiTheme="majorHAnsi" w:cs="Times New Roman"/>
          <w:sz w:val="24"/>
          <w:szCs w:val="24"/>
          <w:lang w:eastAsia="fr-FR"/>
        </w:rPr>
        <w:t>. Se faire délivrer en prenant un faux nom ou une fausse qualité le casier d'un tiers est un délit passible de 7 500 euros d'amende</w:t>
      </w:r>
      <w:hyperlink r:id="rId17" w:anchor="cite_note-lib.C3.A9-2" w:history="1">
        <w:r w:rsidRPr="00A97505">
          <w:rPr>
            <w:rFonts w:asciiTheme="majorHAnsi" w:eastAsia="Times New Roman" w:hAnsiTheme="majorHAnsi" w:cs="Times New Roman"/>
            <w:sz w:val="24"/>
            <w:szCs w:val="24"/>
            <w:vertAlign w:val="superscript"/>
            <w:lang w:eastAsia="fr-FR"/>
          </w:rPr>
          <w:t>3</w:t>
        </w:r>
      </w:hyperlink>
      <w:proofErr w:type="gramStart"/>
      <w:r w:rsidRPr="00A97505">
        <w:rPr>
          <w:rFonts w:asciiTheme="majorHAnsi" w:eastAsia="Times New Roman" w:hAnsiTheme="majorHAnsi" w:cs="Times New Roman"/>
          <w:sz w:val="24"/>
          <w:szCs w:val="24"/>
          <w:vertAlign w:val="superscript"/>
          <w:lang w:eastAsia="fr-FR"/>
        </w:rPr>
        <w:t>,</w:t>
      </w:r>
      <w:proofErr w:type="gramEnd"/>
      <w:hyperlink r:id="rId18" w:anchor="cite_note-3" w:history="1">
        <w:r w:rsidRPr="00A97505">
          <w:rPr>
            <w:rFonts w:asciiTheme="majorHAnsi" w:eastAsia="Times New Roman" w:hAnsiTheme="majorHAnsi" w:cs="Times New Roman"/>
            <w:sz w:val="24"/>
            <w:szCs w:val="24"/>
            <w:vertAlign w:val="superscript"/>
            <w:lang w:eastAsia="fr-FR"/>
          </w:rPr>
          <w:t>4</w:t>
        </w:r>
      </w:hyperlink>
      <w:r w:rsidRPr="00A97505">
        <w:rPr>
          <w:rFonts w:asciiTheme="majorHAnsi" w:eastAsia="Times New Roman" w:hAnsiTheme="majorHAnsi" w:cs="Times New Roman"/>
          <w:sz w:val="24"/>
          <w:szCs w:val="24"/>
          <w:lang w:eastAsia="fr-FR"/>
        </w:rPr>
        <w:t>.</w:t>
      </w:r>
    </w:p>
    <w:p w:rsidR="00A97505" w:rsidRPr="00A97505" w:rsidRDefault="00A97505" w:rsidP="00217767">
      <w:pPr>
        <w:jc w:val="both"/>
        <w:rPr>
          <w:rFonts w:asciiTheme="majorHAnsi" w:hAnsiTheme="majorHAnsi"/>
        </w:rPr>
      </w:pPr>
    </w:p>
    <w:sectPr w:rsidR="00A97505" w:rsidRPr="00A97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68E"/>
    <w:multiLevelType w:val="multilevel"/>
    <w:tmpl w:val="8ED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639C5"/>
    <w:multiLevelType w:val="hybridMultilevel"/>
    <w:tmpl w:val="4FA871E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B0120C"/>
    <w:multiLevelType w:val="multilevel"/>
    <w:tmpl w:val="0CEA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D1CDE"/>
    <w:multiLevelType w:val="multilevel"/>
    <w:tmpl w:val="549C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A2F61"/>
    <w:multiLevelType w:val="hybridMultilevel"/>
    <w:tmpl w:val="A3FECAC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2D0C44"/>
    <w:multiLevelType w:val="hybridMultilevel"/>
    <w:tmpl w:val="92EC003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05"/>
    <w:rsid w:val="00217767"/>
    <w:rsid w:val="00965748"/>
    <w:rsid w:val="00A97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97505"/>
    <w:rPr>
      <w:color w:val="0000FF"/>
      <w:u w:val="single"/>
    </w:rPr>
  </w:style>
  <w:style w:type="character" w:customStyle="1" w:styleId="legifrance">
    <w:name w:val="legifrance"/>
    <w:basedOn w:val="Policepardfaut"/>
    <w:rsid w:val="00A97505"/>
  </w:style>
  <w:style w:type="paragraph" w:styleId="Paragraphedeliste">
    <w:name w:val="List Paragraph"/>
    <w:basedOn w:val="Normal"/>
    <w:uiPriority w:val="34"/>
    <w:qFormat/>
    <w:rsid w:val="00A97505"/>
    <w:pPr>
      <w:ind w:left="720"/>
      <w:contextualSpacing/>
    </w:pPr>
  </w:style>
  <w:style w:type="paragraph" w:styleId="Textedebulles">
    <w:name w:val="Balloon Text"/>
    <w:basedOn w:val="Normal"/>
    <w:link w:val="TextedebullesCar"/>
    <w:uiPriority w:val="99"/>
    <w:semiHidden/>
    <w:unhideWhenUsed/>
    <w:rsid w:val="00217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97505"/>
    <w:rPr>
      <w:color w:val="0000FF"/>
      <w:u w:val="single"/>
    </w:rPr>
  </w:style>
  <w:style w:type="character" w:customStyle="1" w:styleId="legifrance">
    <w:name w:val="legifrance"/>
    <w:basedOn w:val="Policepardfaut"/>
    <w:rsid w:val="00A97505"/>
  </w:style>
  <w:style w:type="paragraph" w:styleId="Paragraphedeliste">
    <w:name w:val="List Paragraph"/>
    <w:basedOn w:val="Normal"/>
    <w:uiPriority w:val="34"/>
    <w:qFormat/>
    <w:rsid w:val="00A97505"/>
    <w:pPr>
      <w:ind w:left="720"/>
      <w:contextualSpacing/>
    </w:pPr>
  </w:style>
  <w:style w:type="paragraph" w:styleId="Textedebulles">
    <w:name w:val="Balloon Text"/>
    <w:basedOn w:val="Normal"/>
    <w:link w:val="TextedebullesCar"/>
    <w:uiPriority w:val="99"/>
    <w:semiHidden/>
    <w:unhideWhenUsed/>
    <w:rsid w:val="00217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Nantes" TargetMode="External"/><Relationship Id="rId13" Type="http://schemas.openxmlformats.org/officeDocument/2006/relationships/hyperlink" Target="http://www.cjn.justice.gouv.fr" TargetMode="External"/><Relationship Id="rId18" Type="http://schemas.openxmlformats.org/officeDocument/2006/relationships/hyperlink" Target="http://fr.wikipedia.org/wiki/Casier_judiciaire_en_France" TargetMode="External"/><Relationship Id="rId3" Type="http://schemas.microsoft.com/office/2007/relationships/stylesWithEffects" Target="stylesWithEffects.xml"/><Relationship Id="rId7" Type="http://schemas.openxmlformats.org/officeDocument/2006/relationships/hyperlink" Target="http://fr.wikipedia.org/wiki/Fichage_en_France" TargetMode="External"/><Relationship Id="rId12" Type="http://schemas.openxmlformats.org/officeDocument/2006/relationships/hyperlink" Target="http://fr.wikipedia.org/wiki/Loi_Perben_II_du_9_mars_2004" TargetMode="External"/><Relationship Id="rId17" Type="http://schemas.openxmlformats.org/officeDocument/2006/relationships/hyperlink" Target="http://fr.wikipedia.org/wiki/Casier_judiciaire_en_France" TargetMode="External"/><Relationship Id="rId2" Type="http://schemas.openxmlformats.org/officeDocument/2006/relationships/styles" Target="styles.xml"/><Relationship Id="rId16" Type="http://schemas.openxmlformats.org/officeDocument/2006/relationships/hyperlink" Target="http://fr.wikipedia.org/wiki/Casier_judiciaire_en_Fr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wikipedia.org/wiki/France" TargetMode="External"/><Relationship Id="rId11" Type="http://schemas.openxmlformats.org/officeDocument/2006/relationships/hyperlink" Target="http://fr.wikipedia.org/wiki/Direction_des_affaires_criminelles_et_des_gr%C3%A2ces" TargetMode="External"/><Relationship Id="rId5" Type="http://schemas.openxmlformats.org/officeDocument/2006/relationships/webSettings" Target="webSettings.xml"/><Relationship Id="rId15" Type="http://schemas.openxmlformats.org/officeDocument/2006/relationships/hyperlink" Target="http://fr.wikipedia.org/wiki/R%C3%A9habilitation_en_droit_fran%C3%A7ais" TargetMode="External"/><Relationship Id="rId10" Type="http://schemas.openxmlformats.org/officeDocument/2006/relationships/hyperlink" Target="http://fr.wikipedia.org/wiki/Minist%C3%A8re_de_la_Justice_%28France%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wikipedia.org/wiki/1966" TargetMode="External"/><Relationship Id="rId14" Type="http://schemas.openxmlformats.org/officeDocument/2006/relationships/hyperlink" Target="http://fr.wikipedia.org/wiki/Amnist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975</Words>
  <Characters>5367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3</cp:revision>
  <cp:lastPrinted>2013-03-30T13:44:00Z</cp:lastPrinted>
  <dcterms:created xsi:type="dcterms:W3CDTF">2012-04-07T15:28:00Z</dcterms:created>
  <dcterms:modified xsi:type="dcterms:W3CDTF">2013-03-30T13:44:00Z</dcterms:modified>
</cp:coreProperties>
</file>