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99" w:rsidRPr="00035799" w:rsidRDefault="00035799" w:rsidP="008818B5">
      <w:pPr>
        <w:pBdr>
          <w:top w:val="single" w:sz="4" w:space="1" w:color="auto"/>
          <w:left w:val="single" w:sz="4" w:space="4" w:color="auto"/>
          <w:bottom w:val="single" w:sz="4" w:space="1" w:color="auto"/>
          <w:right w:val="single" w:sz="4" w:space="4" w:color="auto"/>
        </w:pBdr>
        <w:shd w:val="clear" w:color="auto" w:fill="A6A6A6" w:themeFill="background1" w:themeFillShade="A6"/>
        <w:spacing w:before="100" w:beforeAutospacing="1" w:after="100" w:afterAutospacing="1" w:line="240" w:lineRule="auto"/>
        <w:jc w:val="center"/>
        <w:outlineLvl w:val="2"/>
        <w:rPr>
          <w:rFonts w:asciiTheme="majorHAnsi" w:eastAsia="Times New Roman" w:hAnsiTheme="majorHAnsi" w:cs="Times New Roman"/>
          <w:b/>
          <w:bCs/>
          <w:color w:val="000000" w:themeColor="text1"/>
          <w:sz w:val="24"/>
          <w:szCs w:val="24"/>
          <w:lang w:eastAsia="fr-FR"/>
        </w:rPr>
      </w:pPr>
      <w:r w:rsidRPr="00035799">
        <w:rPr>
          <w:rFonts w:asciiTheme="majorHAnsi" w:eastAsia="Times New Roman" w:hAnsiTheme="majorHAnsi" w:cs="Times New Roman"/>
          <w:b/>
          <w:bCs/>
          <w:color w:val="000000" w:themeColor="text1"/>
          <w:sz w:val="24"/>
          <w:szCs w:val="24"/>
          <w:lang w:eastAsia="fr-FR"/>
        </w:rPr>
        <w:t>La création des centres de rétention administrative</w:t>
      </w:r>
    </w:p>
    <w:p w:rsidR="00035799" w:rsidRPr="008818B5" w:rsidRDefault="00035799" w:rsidP="008818B5">
      <w:pPr>
        <w:spacing w:before="100" w:beforeAutospacing="1" w:after="100" w:afterAutospacing="1" w:line="240" w:lineRule="auto"/>
        <w:jc w:val="both"/>
        <w:outlineLvl w:val="3"/>
        <w:rPr>
          <w:rFonts w:asciiTheme="majorHAnsi" w:eastAsia="Times New Roman" w:hAnsiTheme="majorHAnsi" w:cs="Times New Roman"/>
          <w:b/>
          <w:bCs/>
          <w:color w:val="548DD4" w:themeColor="text2" w:themeTint="99"/>
          <w:sz w:val="24"/>
          <w:szCs w:val="24"/>
          <w:lang w:eastAsia="fr-FR"/>
        </w:rPr>
      </w:pPr>
      <w:r w:rsidRPr="008818B5">
        <w:rPr>
          <w:rFonts w:asciiTheme="majorHAnsi" w:eastAsia="Times New Roman" w:hAnsiTheme="majorHAnsi" w:cs="Times New Roman"/>
          <w:b/>
          <w:bCs/>
          <w:color w:val="548DD4" w:themeColor="text2" w:themeTint="99"/>
          <w:sz w:val="24"/>
          <w:szCs w:val="24"/>
          <w:lang w:eastAsia="fr-FR"/>
        </w:rPr>
        <w:t>L'enfermement administratif des étrangers avant les CRA</w:t>
      </w:r>
    </w:p>
    <w:p w:rsidR="00035799" w:rsidRPr="00035799" w:rsidRDefault="00035799"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Durant la Première Guerre mondiale, des civils ressortissants de pays en guerre avec la France sont enfermés dans des camps sur simple décision administrative.</w:t>
      </w:r>
    </w:p>
    <w:p w:rsidR="00035799" w:rsidRPr="00035799" w:rsidRDefault="00035799"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 xml:space="preserve">Durant la Seconde Guerre mondiale, des individus définis comme juifs, communistes, homosexuels, etc., français et étrangers, sont enfermés dans des camps par l'administration française sans décision judiciaire. L'exemple le plus connu est l'utilisation du </w:t>
      </w:r>
      <w:hyperlink r:id="rId6" w:tooltip="Rafle du Vélodrome d'Hiver" w:history="1">
        <w:r w:rsidRPr="00035799">
          <w:rPr>
            <w:rFonts w:asciiTheme="majorHAnsi" w:eastAsia="Times New Roman" w:hAnsiTheme="majorHAnsi" w:cs="Times New Roman"/>
            <w:color w:val="0000FF"/>
            <w:sz w:val="24"/>
            <w:szCs w:val="24"/>
            <w:u w:val="single"/>
            <w:lang w:eastAsia="fr-FR"/>
          </w:rPr>
          <w:t>Vel d'Hiv</w:t>
        </w:r>
      </w:hyperlink>
      <w:r w:rsidRPr="00035799">
        <w:rPr>
          <w:rFonts w:asciiTheme="majorHAnsi" w:eastAsia="Times New Roman" w:hAnsiTheme="majorHAnsi" w:cs="Times New Roman"/>
          <w:sz w:val="24"/>
          <w:szCs w:val="24"/>
          <w:lang w:eastAsia="fr-FR"/>
        </w:rPr>
        <w:t xml:space="preserve"> en 1942. Ils sont, le plus souvent, envoyés ensuite dans les </w:t>
      </w:r>
      <w:hyperlink r:id="rId7" w:tooltip="Camps d'extermination nazis" w:history="1">
        <w:r w:rsidRPr="00035799">
          <w:rPr>
            <w:rFonts w:asciiTheme="majorHAnsi" w:eastAsia="Times New Roman" w:hAnsiTheme="majorHAnsi" w:cs="Times New Roman"/>
            <w:color w:val="0000FF"/>
            <w:sz w:val="24"/>
            <w:szCs w:val="24"/>
            <w:u w:val="single"/>
            <w:lang w:eastAsia="fr-FR"/>
          </w:rPr>
          <w:t>camps d'extermination</w:t>
        </w:r>
      </w:hyperlink>
      <w:r w:rsidRPr="00035799">
        <w:rPr>
          <w:rFonts w:asciiTheme="majorHAnsi" w:eastAsia="Times New Roman" w:hAnsiTheme="majorHAnsi" w:cs="Times New Roman"/>
          <w:sz w:val="24"/>
          <w:szCs w:val="24"/>
          <w:lang w:eastAsia="fr-FR"/>
        </w:rPr>
        <w:t xml:space="preserve"> à l'Est de l'Europe.</w:t>
      </w:r>
    </w:p>
    <w:p w:rsidR="00035799" w:rsidRPr="008818B5" w:rsidRDefault="00035799" w:rsidP="008818B5">
      <w:pPr>
        <w:spacing w:before="100" w:beforeAutospacing="1" w:after="100" w:afterAutospacing="1" w:line="240" w:lineRule="auto"/>
        <w:jc w:val="both"/>
        <w:outlineLvl w:val="3"/>
        <w:rPr>
          <w:rFonts w:asciiTheme="majorHAnsi" w:eastAsia="Times New Roman" w:hAnsiTheme="majorHAnsi" w:cs="Times New Roman"/>
          <w:b/>
          <w:bCs/>
          <w:color w:val="FF0000"/>
          <w:sz w:val="24"/>
          <w:szCs w:val="24"/>
          <w:lang w:eastAsia="fr-FR"/>
        </w:rPr>
      </w:pPr>
      <w:r w:rsidRPr="008818B5">
        <w:rPr>
          <w:rFonts w:asciiTheme="majorHAnsi" w:eastAsia="Times New Roman" w:hAnsiTheme="majorHAnsi" w:cs="Times New Roman"/>
          <w:b/>
          <w:bCs/>
          <w:color w:val="FF0000"/>
          <w:sz w:val="24"/>
          <w:szCs w:val="24"/>
          <w:lang w:eastAsia="fr-FR"/>
        </w:rPr>
        <w:t>La création des CRA</w:t>
      </w:r>
    </w:p>
    <w:p w:rsidR="00035799" w:rsidRPr="00035799" w:rsidRDefault="00035799"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 xml:space="preserve">Après la grande vague des indépendances, dans le port de </w:t>
      </w:r>
      <w:hyperlink r:id="rId8" w:tooltip="Marseille" w:history="1">
        <w:r w:rsidRPr="00035799">
          <w:rPr>
            <w:rFonts w:asciiTheme="majorHAnsi" w:eastAsia="Times New Roman" w:hAnsiTheme="majorHAnsi" w:cs="Times New Roman"/>
            <w:color w:val="0000FF"/>
            <w:sz w:val="24"/>
            <w:szCs w:val="24"/>
            <w:u w:val="single"/>
            <w:lang w:eastAsia="fr-FR"/>
          </w:rPr>
          <w:t>Marseille</w:t>
        </w:r>
      </w:hyperlink>
      <w:r w:rsidRPr="00035799">
        <w:rPr>
          <w:rFonts w:asciiTheme="majorHAnsi" w:eastAsia="Times New Roman" w:hAnsiTheme="majorHAnsi" w:cs="Times New Roman"/>
          <w:sz w:val="24"/>
          <w:szCs w:val="24"/>
          <w:lang w:eastAsia="fr-FR"/>
        </w:rPr>
        <w:t xml:space="preserve">, un entrepôt construit en 1917 est acheté en 1964 par le Préfecture de Police pour enfermer les étrangers en instance d'expulsion. Il n'existe alors aucun texte réglementant cette pratique. L'affaire est dévoilée publiquement par </w:t>
      </w:r>
      <w:hyperlink r:id="rId9" w:tooltip="La Marseillaise (journal)" w:history="1">
        <w:r w:rsidRPr="00035799">
          <w:rPr>
            <w:rFonts w:asciiTheme="majorHAnsi" w:eastAsia="Times New Roman" w:hAnsiTheme="majorHAnsi" w:cs="Times New Roman"/>
            <w:color w:val="0000FF"/>
            <w:sz w:val="24"/>
            <w:szCs w:val="24"/>
            <w:u w:val="single"/>
            <w:lang w:eastAsia="fr-FR"/>
          </w:rPr>
          <w:t>La Marseillaise</w:t>
        </w:r>
      </w:hyperlink>
      <w:r w:rsidRPr="00035799">
        <w:rPr>
          <w:rFonts w:asciiTheme="majorHAnsi" w:eastAsia="Times New Roman" w:hAnsiTheme="majorHAnsi" w:cs="Times New Roman"/>
          <w:sz w:val="24"/>
          <w:szCs w:val="24"/>
          <w:lang w:eastAsia="fr-FR"/>
        </w:rPr>
        <w:t xml:space="preserve"> en 1974, sans que la méthode soit modifiée.</w:t>
      </w:r>
    </w:p>
    <w:p w:rsidR="00035799" w:rsidRPr="00035799" w:rsidRDefault="00035799"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Les CRA sont légalisés le 29 octobre 1981 : alors que François Mitterrand vient d’être élu, la loi organise la rétention administrative. Cette institutionnalisation de lieux de privation de liberté qui ne dépendent pas de l'administration pénitentiaire fait suite à la découverte, à Marseille en 1975, de la prison clandestine d’</w:t>
      </w:r>
      <w:proofErr w:type="spellStart"/>
      <w:r w:rsidRPr="00035799">
        <w:rPr>
          <w:rFonts w:asciiTheme="majorHAnsi" w:eastAsia="Times New Roman" w:hAnsiTheme="majorHAnsi" w:cs="Times New Roman"/>
          <w:sz w:val="24"/>
          <w:szCs w:val="24"/>
          <w:lang w:eastAsia="fr-FR"/>
        </w:rPr>
        <w:fldChar w:fldCharType="begin"/>
      </w:r>
      <w:r w:rsidRPr="00035799">
        <w:rPr>
          <w:rFonts w:asciiTheme="majorHAnsi" w:eastAsia="Times New Roman" w:hAnsiTheme="majorHAnsi" w:cs="Times New Roman"/>
          <w:sz w:val="24"/>
          <w:szCs w:val="24"/>
          <w:lang w:eastAsia="fr-FR"/>
        </w:rPr>
        <w:instrText xml:space="preserve"> HYPERLINK "http://fr.wikipedia.org/wiki/Arenc" \o "Arenc" </w:instrText>
      </w:r>
      <w:r w:rsidRPr="00035799">
        <w:rPr>
          <w:rFonts w:asciiTheme="majorHAnsi" w:eastAsia="Times New Roman" w:hAnsiTheme="majorHAnsi" w:cs="Times New Roman"/>
          <w:sz w:val="24"/>
          <w:szCs w:val="24"/>
          <w:lang w:eastAsia="fr-FR"/>
        </w:rPr>
        <w:fldChar w:fldCharType="separate"/>
      </w:r>
      <w:r w:rsidRPr="00035799">
        <w:rPr>
          <w:rFonts w:asciiTheme="majorHAnsi" w:eastAsia="Times New Roman" w:hAnsiTheme="majorHAnsi" w:cs="Times New Roman"/>
          <w:color w:val="0000FF"/>
          <w:sz w:val="24"/>
          <w:szCs w:val="24"/>
          <w:u w:val="single"/>
          <w:lang w:eastAsia="fr-FR"/>
        </w:rPr>
        <w:t>Arenc</w:t>
      </w:r>
      <w:proofErr w:type="spellEnd"/>
      <w:r w:rsidRPr="00035799">
        <w:rPr>
          <w:rFonts w:asciiTheme="majorHAnsi" w:eastAsia="Times New Roman" w:hAnsiTheme="majorHAnsi" w:cs="Times New Roman"/>
          <w:sz w:val="24"/>
          <w:szCs w:val="24"/>
          <w:lang w:eastAsia="fr-FR"/>
        </w:rPr>
        <w:fldChar w:fldCharType="end"/>
      </w:r>
      <w:r w:rsidRPr="00035799">
        <w:rPr>
          <w:rFonts w:asciiTheme="majorHAnsi" w:eastAsia="Times New Roman" w:hAnsiTheme="majorHAnsi" w:cs="Times New Roman"/>
          <w:sz w:val="24"/>
          <w:szCs w:val="24"/>
          <w:lang w:eastAsia="fr-FR"/>
        </w:rPr>
        <w:t xml:space="preserve">, contrôlée par la </w:t>
      </w:r>
      <w:hyperlink r:id="rId10" w:tooltip="Police française" w:history="1">
        <w:r w:rsidRPr="00035799">
          <w:rPr>
            <w:rFonts w:asciiTheme="majorHAnsi" w:eastAsia="Times New Roman" w:hAnsiTheme="majorHAnsi" w:cs="Times New Roman"/>
            <w:color w:val="0000FF"/>
            <w:sz w:val="24"/>
            <w:szCs w:val="24"/>
            <w:u w:val="single"/>
            <w:lang w:eastAsia="fr-FR"/>
          </w:rPr>
          <w:t>police</w:t>
        </w:r>
      </w:hyperlink>
      <w:r w:rsidRPr="00035799">
        <w:rPr>
          <w:rFonts w:asciiTheme="majorHAnsi" w:eastAsia="Times New Roman" w:hAnsiTheme="majorHAnsi" w:cs="Times New Roman"/>
          <w:sz w:val="24"/>
          <w:szCs w:val="24"/>
          <w:lang w:eastAsia="fr-FR"/>
        </w:rPr>
        <w:t>, où étaient séquestrés des travailleurs immigrés en instance d’expulsion. Depuis 1964, la police y exerçait son autorité sans aucun contrôle judiciaire, sur la seule base d’un règlement de police de 1938 autorisant l’internement des étrangers sans-papiers</w:t>
      </w:r>
      <w:hyperlink r:id="rId11" w:anchor="cite_note-5" w:history="1">
        <w:r w:rsidRPr="00035799">
          <w:rPr>
            <w:rFonts w:asciiTheme="majorHAnsi" w:eastAsia="Times New Roman" w:hAnsiTheme="majorHAnsi" w:cs="Times New Roman"/>
            <w:color w:val="0000FF"/>
            <w:sz w:val="24"/>
            <w:szCs w:val="24"/>
            <w:u w:val="single"/>
            <w:vertAlign w:val="superscript"/>
            <w:lang w:eastAsia="fr-FR"/>
          </w:rPr>
          <w:t>6</w:t>
        </w:r>
      </w:hyperlink>
      <w:r w:rsidRPr="00035799">
        <w:rPr>
          <w:rFonts w:asciiTheme="majorHAnsi" w:eastAsia="Times New Roman" w:hAnsiTheme="majorHAnsi" w:cs="Times New Roman"/>
          <w:sz w:val="24"/>
          <w:szCs w:val="24"/>
          <w:lang w:eastAsia="fr-FR"/>
        </w:rPr>
        <w:t>.</w:t>
      </w:r>
    </w:p>
    <w:p w:rsidR="00035799" w:rsidRPr="008818B5" w:rsidRDefault="00035799" w:rsidP="008818B5">
      <w:pPr>
        <w:spacing w:before="100" w:beforeAutospacing="1" w:after="100" w:afterAutospacing="1" w:line="240" w:lineRule="auto"/>
        <w:jc w:val="both"/>
        <w:outlineLvl w:val="2"/>
        <w:rPr>
          <w:rFonts w:asciiTheme="majorHAnsi" w:eastAsia="Times New Roman" w:hAnsiTheme="majorHAnsi" w:cs="Times New Roman"/>
          <w:b/>
          <w:bCs/>
          <w:color w:val="FF0000"/>
          <w:sz w:val="24"/>
          <w:szCs w:val="24"/>
          <w:lang w:eastAsia="fr-FR"/>
        </w:rPr>
      </w:pPr>
      <w:r w:rsidRPr="008818B5">
        <w:rPr>
          <w:rFonts w:asciiTheme="majorHAnsi" w:eastAsia="Times New Roman" w:hAnsiTheme="majorHAnsi" w:cs="Times New Roman"/>
          <w:b/>
          <w:bCs/>
          <w:color w:val="FF0000"/>
          <w:sz w:val="24"/>
          <w:szCs w:val="24"/>
          <w:lang w:eastAsia="fr-FR"/>
        </w:rPr>
        <w:t>Différence avec une prison</w:t>
      </w:r>
    </w:p>
    <w:p w:rsidR="00035799" w:rsidRPr="00035799" w:rsidRDefault="00035799"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 xml:space="preserve">Un centre de rétention administratif se distingue d'un établissement pénitentiaire, c'est-à-dire d'une </w:t>
      </w:r>
      <w:hyperlink r:id="rId12" w:tooltip="Prison" w:history="1">
        <w:r w:rsidRPr="00035799">
          <w:rPr>
            <w:rFonts w:asciiTheme="majorHAnsi" w:eastAsia="Times New Roman" w:hAnsiTheme="majorHAnsi" w:cs="Times New Roman"/>
            <w:color w:val="0000FF"/>
            <w:sz w:val="24"/>
            <w:szCs w:val="24"/>
            <w:u w:val="single"/>
            <w:lang w:eastAsia="fr-FR"/>
          </w:rPr>
          <w:t>prison</w:t>
        </w:r>
      </w:hyperlink>
      <w:r w:rsidRPr="00035799">
        <w:rPr>
          <w:rFonts w:asciiTheme="majorHAnsi" w:eastAsia="Times New Roman" w:hAnsiTheme="majorHAnsi" w:cs="Times New Roman"/>
          <w:sz w:val="24"/>
          <w:szCs w:val="24"/>
          <w:lang w:eastAsia="fr-FR"/>
        </w:rPr>
        <w:t xml:space="preserve">, au sens où la privation de </w:t>
      </w:r>
      <w:hyperlink r:id="rId13" w:tooltip="Liberté" w:history="1">
        <w:r w:rsidRPr="00035799">
          <w:rPr>
            <w:rFonts w:asciiTheme="majorHAnsi" w:eastAsia="Times New Roman" w:hAnsiTheme="majorHAnsi" w:cs="Times New Roman"/>
            <w:color w:val="0000FF"/>
            <w:sz w:val="24"/>
            <w:szCs w:val="24"/>
            <w:u w:val="single"/>
            <w:lang w:eastAsia="fr-FR"/>
          </w:rPr>
          <w:t>liberté</w:t>
        </w:r>
      </w:hyperlink>
      <w:r w:rsidRPr="00035799">
        <w:rPr>
          <w:rFonts w:asciiTheme="majorHAnsi" w:eastAsia="Times New Roman" w:hAnsiTheme="majorHAnsi" w:cs="Times New Roman"/>
          <w:sz w:val="24"/>
          <w:szCs w:val="24"/>
          <w:lang w:eastAsia="fr-FR"/>
        </w:rPr>
        <w:t xml:space="preserve"> n'a pas de caractère </w:t>
      </w:r>
      <w:hyperlink r:id="rId14" w:tooltip="Droit pénal" w:history="1">
        <w:r w:rsidRPr="00035799">
          <w:rPr>
            <w:rFonts w:asciiTheme="majorHAnsi" w:eastAsia="Times New Roman" w:hAnsiTheme="majorHAnsi" w:cs="Times New Roman"/>
            <w:color w:val="0000FF"/>
            <w:sz w:val="24"/>
            <w:szCs w:val="24"/>
            <w:u w:val="single"/>
            <w:lang w:eastAsia="fr-FR"/>
          </w:rPr>
          <w:t>punitif</w:t>
        </w:r>
      </w:hyperlink>
      <w:r w:rsidRPr="00035799">
        <w:rPr>
          <w:rFonts w:asciiTheme="majorHAnsi" w:eastAsia="Times New Roman" w:hAnsiTheme="majorHAnsi" w:cs="Times New Roman"/>
          <w:sz w:val="24"/>
          <w:szCs w:val="24"/>
          <w:lang w:eastAsia="fr-FR"/>
        </w:rPr>
        <w:t xml:space="preserve"> résultant de la décision d'une </w:t>
      </w:r>
      <w:hyperlink r:id="rId15" w:tooltip="Juridiction pénale" w:history="1">
        <w:r w:rsidRPr="00035799">
          <w:rPr>
            <w:rFonts w:asciiTheme="majorHAnsi" w:eastAsia="Times New Roman" w:hAnsiTheme="majorHAnsi" w:cs="Times New Roman"/>
            <w:color w:val="0000FF"/>
            <w:sz w:val="24"/>
            <w:szCs w:val="24"/>
            <w:u w:val="single"/>
            <w:lang w:eastAsia="fr-FR"/>
          </w:rPr>
          <w:t>autorité judiciaire</w:t>
        </w:r>
      </w:hyperlink>
      <w:r w:rsidRPr="00035799">
        <w:rPr>
          <w:rFonts w:asciiTheme="majorHAnsi" w:eastAsia="Times New Roman" w:hAnsiTheme="majorHAnsi" w:cs="Times New Roman"/>
          <w:sz w:val="24"/>
          <w:szCs w:val="24"/>
          <w:lang w:eastAsia="fr-FR"/>
        </w:rPr>
        <w:t>, mais celui d'une mesure administrative visant:</w:t>
      </w:r>
    </w:p>
    <w:p w:rsidR="00035799" w:rsidRPr="00035799" w:rsidRDefault="00035799" w:rsidP="008818B5">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soit à s'assurer de la présence d'une personne étrangère qui ne possède pas de domicile ou d'identité certaine en attendant de statuer sur son état,</w:t>
      </w:r>
    </w:p>
    <w:p w:rsidR="00035799" w:rsidRPr="00035799" w:rsidRDefault="00035799" w:rsidP="008818B5">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soit à empêcher une personne de pénétrer et de séjourner sur un territoire étranger sans autorisation en attendant de la reconduire dans son pays.</w:t>
      </w:r>
    </w:p>
    <w:p w:rsidR="00035799" w:rsidRPr="00035799" w:rsidRDefault="00035799"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On parle de rétention et non de détention ou d'emprisonnement.</w:t>
      </w:r>
    </w:p>
    <w:p w:rsidR="00035799" w:rsidRPr="00035799" w:rsidRDefault="00035799"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035799">
        <w:rPr>
          <w:rFonts w:asciiTheme="majorHAnsi" w:eastAsia="Times New Roman" w:hAnsiTheme="majorHAnsi" w:cs="Times New Roman"/>
          <w:sz w:val="24"/>
          <w:szCs w:val="24"/>
          <w:lang w:eastAsia="fr-FR"/>
        </w:rPr>
        <w:t xml:space="preserve">Les centres de rétention ne doivent pas non plus être confondus avec des </w:t>
      </w:r>
      <w:hyperlink r:id="rId16" w:tooltip="Camp de réfugiés" w:history="1">
        <w:r w:rsidRPr="00035799">
          <w:rPr>
            <w:rFonts w:asciiTheme="majorHAnsi" w:eastAsia="Times New Roman" w:hAnsiTheme="majorHAnsi" w:cs="Times New Roman"/>
            <w:color w:val="0000FF"/>
            <w:sz w:val="24"/>
            <w:szCs w:val="24"/>
            <w:u w:val="single"/>
            <w:lang w:eastAsia="fr-FR"/>
          </w:rPr>
          <w:t>camps de réfugiés</w:t>
        </w:r>
      </w:hyperlink>
      <w:r w:rsidRPr="00035799">
        <w:rPr>
          <w:rFonts w:asciiTheme="majorHAnsi" w:eastAsia="Times New Roman" w:hAnsiTheme="majorHAnsi" w:cs="Times New Roman"/>
          <w:sz w:val="24"/>
          <w:szCs w:val="24"/>
          <w:lang w:eastAsia="fr-FR"/>
        </w:rPr>
        <w:t xml:space="preserve">, ni avec des </w:t>
      </w:r>
      <w:hyperlink r:id="rId17" w:tooltip="Camp de prisonniers de guerre" w:history="1">
        <w:r w:rsidRPr="00035799">
          <w:rPr>
            <w:rFonts w:asciiTheme="majorHAnsi" w:eastAsia="Times New Roman" w:hAnsiTheme="majorHAnsi" w:cs="Times New Roman"/>
            <w:color w:val="0000FF"/>
            <w:sz w:val="24"/>
            <w:szCs w:val="24"/>
            <w:u w:val="single"/>
            <w:lang w:eastAsia="fr-FR"/>
          </w:rPr>
          <w:t>camps</w:t>
        </w:r>
      </w:hyperlink>
      <w:r w:rsidRPr="00035799">
        <w:rPr>
          <w:rFonts w:asciiTheme="majorHAnsi" w:eastAsia="Times New Roman" w:hAnsiTheme="majorHAnsi" w:cs="Times New Roman"/>
          <w:sz w:val="24"/>
          <w:szCs w:val="24"/>
          <w:lang w:eastAsia="fr-FR"/>
        </w:rPr>
        <w:t xml:space="preserve"> pour les </w:t>
      </w:r>
      <w:hyperlink r:id="rId18" w:tooltip="Prisonnier de guerre" w:history="1">
        <w:r w:rsidRPr="00035799">
          <w:rPr>
            <w:rFonts w:asciiTheme="majorHAnsi" w:eastAsia="Times New Roman" w:hAnsiTheme="majorHAnsi" w:cs="Times New Roman"/>
            <w:color w:val="0000FF"/>
            <w:sz w:val="24"/>
            <w:szCs w:val="24"/>
            <w:u w:val="single"/>
            <w:lang w:eastAsia="fr-FR"/>
          </w:rPr>
          <w:t>prisonniers de guerre</w:t>
        </w:r>
      </w:hyperlink>
    </w:p>
    <w:p w:rsidR="00035799" w:rsidRPr="008818B5" w:rsidRDefault="00035799" w:rsidP="008818B5">
      <w:pPr>
        <w:spacing w:before="100" w:beforeAutospacing="1" w:after="100" w:afterAutospacing="1" w:line="240" w:lineRule="auto"/>
        <w:jc w:val="both"/>
        <w:outlineLvl w:val="1"/>
        <w:rPr>
          <w:rFonts w:asciiTheme="majorHAnsi" w:eastAsia="Times New Roman" w:hAnsiTheme="majorHAnsi" w:cs="Times New Roman"/>
          <w:b/>
          <w:bCs/>
          <w:color w:val="FF0000"/>
          <w:sz w:val="24"/>
          <w:szCs w:val="24"/>
          <w:lang w:eastAsia="fr-FR"/>
        </w:rPr>
      </w:pPr>
      <w:r w:rsidRPr="008818B5">
        <w:rPr>
          <w:rFonts w:asciiTheme="majorHAnsi" w:eastAsia="Times New Roman" w:hAnsiTheme="majorHAnsi" w:cs="Times New Roman"/>
          <w:b/>
          <w:bCs/>
          <w:color w:val="FF0000"/>
          <w:sz w:val="24"/>
          <w:szCs w:val="24"/>
          <w:lang w:eastAsia="fr-FR"/>
        </w:rPr>
        <w:t>Conditions d'hébergement</w:t>
      </w:r>
    </w:p>
    <w:p w:rsidR="00035799" w:rsidRPr="00035799" w:rsidRDefault="00035799" w:rsidP="008818B5">
      <w:pPr>
        <w:spacing w:before="100" w:beforeAutospacing="1" w:after="100" w:afterAutospacing="1" w:line="240" w:lineRule="auto"/>
        <w:jc w:val="both"/>
        <w:outlineLvl w:val="2"/>
        <w:rPr>
          <w:rFonts w:asciiTheme="majorHAnsi" w:eastAsia="Times New Roman" w:hAnsiTheme="majorHAnsi" w:cs="Times New Roman"/>
          <w:b/>
          <w:bCs/>
          <w:sz w:val="24"/>
          <w:szCs w:val="24"/>
          <w:lang w:eastAsia="fr-FR"/>
        </w:rPr>
      </w:pPr>
      <w:r w:rsidRPr="00035799">
        <w:rPr>
          <w:rFonts w:asciiTheme="majorHAnsi" w:eastAsia="Times New Roman" w:hAnsiTheme="majorHAnsi" w:cs="Times New Roman"/>
          <w:b/>
          <w:bCs/>
          <w:sz w:val="24"/>
          <w:szCs w:val="24"/>
          <w:lang w:eastAsia="fr-FR"/>
        </w:rPr>
        <w:t>Les normes</w:t>
      </w:r>
    </w:p>
    <w:p w:rsidR="00035799" w:rsidRPr="00035799" w:rsidRDefault="00035799" w:rsidP="008818B5">
      <w:p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sz w:val="24"/>
          <w:szCs w:val="24"/>
          <w:lang w:eastAsia="fr-FR"/>
        </w:rPr>
        <w:lastRenderedPageBreak/>
        <w:t xml:space="preserve">La capacité d'accueil des CRA (140 places maximum) et la nature des équipements de type hôtelier et des prestations de restauration collective. </w:t>
      </w:r>
      <w:r w:rsidRPr="00035799">
        <w:rPr>
          <w:rFonts w:asciiTheme="majorHAnsi" w:eastAsia="Times New Roman" w:hAnsiTheme="majorHAnsi" w:cs="Times New Roman"/>
          <w:i/>
          <w:sz w:val="24"/>
          <w:szCs w:val="24"/>
          <w:lang w:eastAsia="fr-FR"/>
        </w:rPr>
        <w:t>Les normes sont les suivantes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surface utile minimum de 10 m² par retenu comprenant les chambres et les espaces librement accessibles aux heures ouvrables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des chambres collectives non mixtes, contenant au maximum six personnes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des équipements sanitaires, comprenant des lavabos, douches et w.-c., en libre accès et en nombre suffisant, soit un bloc sanitaire pour 10 retenus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un téléphone en libre accès pour 50 retenus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locaux et matériels nécessaires à la restauration conformes aux normes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au-delà de 40 retenus : une salle de loisirs et de détente distincte du réfectoire, dont la superficie est d'au moins 50 m², majorée de 10 m² pour 15 retenus supplémentaires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une ou plusieurs salles dotées d'équipement médical, réservées au service médical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un local permettant de recevoir les visites des familles et des autorités consulaires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un local réservé aux avocats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un local affecté à l'</w:t>
      </w:r>
      <w:hyperlink r:id="rId19" w:tooltip="Agence nationale de l'accueil des étrangers et des migrants" w:history="1">
        <w:r w:rsidRPr="00035799">
          <w:rPr>
            <w:rFonts w:asciiTheme="majorHAnsi" w:eastAsia="Times New Roman" w:hAnsiTheme="majorHAnsi" w:cs="Times New Roman"/>
            <w:i/>
            <w:color w:val="0000FF"/>
            <w:sz w:val="24"/>
            <w:szCs w:val="24"/>
            <w:u w:val="single"/>
            <w:lang w:eastAsia="fr-FR"/>
          </w:rPr>
          <w:t>Office français de l'immigration et de l'intégration</w:t>
        </w:r>
      </w:hyperlink>
      <w:r w:rsidRPr="00035799">
        <w:rPr>
          <w:rFonts w:asciiTheme="majorHAnsi" w:eastAsia="Times New Roman" w:hAnsiTheme="majorHAnsi" w:cs="Times New Roman"/>
          <w:i/>
          <w:sz w:val="24"/>
          <w:szCs w:val="24"/>
          <w:lang w:eastAsia="fr-FR"/>
        </w:rPr>
        <w:t>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 xml:space="preserve">un local, meublé et équipé d'un téléphone, affecté à l'association ayant pour mission d'informer les étrangers et de les aider à exercer leurs droits (par exemple la </w:t>
      </w:r>
      <w:hyperlink r:id="rId20" w:tooltip="Cimade" w:history="1">
        <w:proofErr w:type="spellStart"/>
        <w:r w:rsidRPr="00035799">
          <w:rPr>
            <w:rFonts w:asciiTheme="majorHAnsi" w:eastAsia="Times New Roman" w:hAnsiTheme="majorHAnsi" w:cs="Times New Roman"/>
            <w:i/>
            <w:color w:val="0000FF"/>
            <w:sz w:val="24"/>
            <w:szCs w:val="24"/>
            <w:u w:val="single"/>
            <w:lang w:eastAsia="fr-FR"/>
          </w:rPr>
          <w:t>Cimade</w:t>
        </w:r>
        <w:proofErr w:type="spellEnd"/>
      </w:hyperlink>
      <w:r w:rsidRPr="00035799">
        <w:rPr>
          <w:rFonts w:asciiTheme="majorHAnsi" w:eastAsia="Times New Roman" w:hAnsiTheme="majorHAnsi" w:cs="Times New Roman"/>
          <w:i/>
          <w:sz w:val="24"/>
          <w:szCs w:val="24"/>
          <w:lang w:eastAsia="fr-FR"/>
        </w:rPr>
        <w:t>)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un espace de promenade à l'air libre ;</w:t>
      </w:r>
    </w:p>
    <w:p w:rsidR="00035799" w:rsidRPr="00035799" w:rsidRDefault="00035799" w:rsidP="008818B5">
      <w:pPr>
        <w:numPr>
          <w:ilvl w:val="0"/>
          <w:numId w:val="2"/>
        </w:numPr>
        <w:spacing w:before="100" w:beforeAutospacing="1" w:after="100" w:afterAutospacing="1" w:line="240" w:lineRule="auto"/>
        <w:jc w:val="both"/>
        <w:rPr>
          <w:rFonts w:asciiTheme="majorHAnsi" w:eastAsia="Times New Roman" w:hAnsiTheme="majorHAnsi" w:cs="Times New Roman"/>
          <w:i/>
          <w:sz w:val="24"/>
          <w:szCs w:val="24"/>
          <w:lang w:eastAsia="fr-FR"/>
        </w:rPr>
      </w:pPr>
      <w:r w:rsidRPr="00035799">
        <w:rPr>
          <w:rFonts w:asciiTheme="majorHAnsi" w:eastAsia="Times New Roman" w:hAnsiTheme="majorHAnsi" w:cs="Times New Roman"/>
          <w:i/>
          <w:sz w:val="24"/>
          <w:szCs w:val="24"/>
          <w:lang w:eastAsia="fr-FR"/>
        </w:rPr>
        <w:t>un local à bagages ;</w:t>
      </w:r>
    </w:p>
    <w:p w:rsidR="008818B5" w:rsidRDefault="00035799" w:rsidP="008818B5">
      <w:pPr>
        <w:spacing w:before="100" w:beforeAutospacing="1" w:after="100" w:afterAutospacing="1" w:line="240" w:lineRule="auto"/>
        <w:jc w:val="both"/>
        <w:outlineLvl w:val="2"/>
        <w:rPr>
          <w:rFonts w:asciiTheme="majorHAnsi" w:eastAsia="Times New Roman" w:hAnsiTheme="majorHAnsi" w:cs="Times New Roman"/>
          <w:b/>
          <w:bCs/>
          <w:color w:val="FF0000"/>
          <w:sz w:val="24"/>
          <w:szCs w:val="24"/>
          <w:lang w:eastAsia="fr-FR"/>
        </w:rPr>
      </w:pPr>
      <w:proofErr w:type="gramStart"/>
      <w:r w:rsidRPr="00035799">
        <w:rPr>
          <w:rFonts w:asciiTheme="majorHAnsi" w:eastAsia="Times New Roman" w:hAnsiTheme="majorHAnsi" w:cs="Times New Roman"/>
          <w:i/>
          <w:sz w:val="24"/>
          <w:szCs w:val="24"/>
          <w:lang w:eastAsia="fr-FR"/>
        </w:rPr>
        <w:t>pour</w:t>
      </w:r>
      <w:proofErr w:type="gramEnd"/>
      <w:r w:rsidRPr="00035799">
        <w:rPr>
          <w:rFonts w:asciiTheme="majorHAnsi" w:eastAsia="Times New Roman" w:hAnsiTheme="majorHAnsi" w:cs="Times New Roman"/>
          <w:i/>
          <w:sz w:val="24"/>
          <w:szCs w:val="24"/>
          <w:lang w:eastAsia="fr-FR"/>
        </w:rPr>
        <w:t xml:space="preserve"> les CRA habilités à recevoir des familles : des chambres spécialement équipées, et notamment de matériels de puériculture adaptés.</w:t>
      </w:r>
      <w:r w:rsidR="008818B5" w:rsidRPr="008818B5">
        <w:rPr>
          <w:rFonts w:asciiTheme="majorHAnsi" w:eastAsia="Times New Roman" w:hAnsiTheme="majorHAnsi" w:cs="Times New Roman"/>
          <w:b/>
          <w:bCs/>
          <w:color w:val="FF0000"/>
          <w:sz w:val="24"/>
          <w:szCs w:val="24"/>
          <w:lang w:eastAsia="fr-FR"/>
        </w:rPr>
        <w:t xml:space="preserve"> </w:t>
      </w:r>
    </w:p>
    <w:p w:rsidR="008818B5" w:rsidRPr="008818B5" w:rsidRDefault="008818B5" w:rsidP="008818B5">
      <w:pPr>
        <w:spacing w:before="100" w:beforeAutospacing="1" w:after="100" w:afterAutospacing="1" w:line="240" w:lineRule="auto"/>
        <w:jc w:val="both"/>
        <w:outlineLvl w:val="2"/>
        <w:rPr>
          <w:rFonts w:asciiTheme="majorHAnsi" w:eastAsia="Times New Roman" w:hAnsiTheme="majorHAnsi" w:cs="Times New Roman"/>
          <w:b/>
          <w:bCs/>
          <w:color w:val="FF0000"/>
          <w:sz w:val="24"/>
          <w:szCs w:val="24"/>
          <w:lang w:eastAsia="fr-FR"/>
        </w:rPr>
      </w:pPr>
      <w:r w:rsidRPr="008818B5">
        <w:rPr>
          <w:rFonts w:asciiTheme="majorHAnsi" w:eastAsia="Times New Roman" w:hAnsiTheme="majorHAnsi" w:cs="Times New Roman"/>
          <w:b/>
          <w:bCs/>
          <w:color w:val="FF0000"/>
          <w:sz w:val="24"/>
          <w:szCs w:val="24"/>
          <w:lang w:eastAsia="fr-FR"/>
        </w:rPr>
        <w:t>Prise en charge sanitaire dans les CRA</w:t>
      </w:r>
    </w:p>
    <w:p w:rsidR="00035799" w:rsidRPr="008818B5" w:rsidRDefault="008818B5" w:rsidP="008818B5">
      <w:pPr>
        <w:spacing w:before="100" w:beforeAutospacing="1" w:after="100" w:afterAutospacing="1" w:line="240" w:lineRule="auto"/>
        <w:jc w:val="both"/>
        <w:rPr>
          <w:rFonts w:asciiTheme="majorHAnsi" w:eastAsia="Times New Roman" w:hAnsiTheme="majorHAnsi" w:cs="Times New Roman"/>
          <w:b/>
          <w:bCs/>
          <w:sz w:val="24"/>
          <w:szCs w:val="24"/>
          <w:lang w:eastAsia="fr-FR"/>
        </w:rPr>
      </w:pPr>
      <w:r w:rsidRPr="00035799">
        <w:rPr>
          <w:rFonts w:asciiTheme="majorHAnsi" w:eastAsia="Times New Roman" w:hAnsiTheme="majorHAnsi" w:cs="Times New Roman"/>
          <w:sz w:val="24"/>
          <w:szCs w:val="24"/>
          <w:lang w:eastAsia="fr-FR"/>
        </w:rPr>
        <w:t>Toute personne placée dans un centre de rétention administrativ</w:t>
      </w:r>
      <w:r>
        <w:rPr>
          <w:rFonts w:asciiTheme="majorHAnsi" w:eastAsia="Times New Roman" w:hAnsiTheme="majorHAnsi" w:cs="Times New Roman"/>
          <w:sz w:val="24"/>
          <w:szCs w:val="24"/>
          <w:lang w:eastAsia="fr-FR"/>
        </w:rPr>
        <w:t>e a le droit de voir un médecin</w:t>
      </w:r>
    </w:p>
    <w:p w:rsidR="00035799" w:rsidRPr="008818B5" w:rsidRDefault="00035799" w:rsidP="008818B5">
      <w:pPr>
        <w:spacing w:before="100" w:beforeAutospacing="1" w:after="100" w:afterAutospacing="1" w:line="240" w:lineRule="auto"/>
        <w:jc w:val="both"/>
        <w:outlineLvl w:val="2"/>
        <w:rPr>
          <w:rFonts w:asciiTheme="majorHAnsi" w:eastAsia="Times New Roman" w:hAnsiTheme="majorHAnsi" w:cs="Times New Roman"/>
          <w:b/>
          <w:bCs/>
          <w:color w:val="548DD4" w:themeColor="text2" w:themeTint="99"/>
          <w:sz w:val="24"/>
          <w:szCs w:val="24"/>
          <w:lang w:eastAsia="fr-FR"/>
        </w:rPr>
      </w:pPr>
      <w:r w:rsidRPr="008818B5">
        <w:rPr>
          <w:rFonts w:asciiTheme="majorHAnsi" w:eastAsia="Times New Roman" w:hAnsiTheme="majorHAnsi" w:cs="Times New Roman"/>
          <w:b/>
          <w:bCs/>
          <w:color w:val="548DD4" w:themeColor="text2" w:themeTint="99"/>
          <w:sz w:val="24"/>
          <w:szCs w:val="24"/>
          <w:lang w:eastAsia="fr-FR"/>
        </w:rPr>
        <w:t>Rétention des mineurs</w:t>
      </w:r>
      <w:r w:rsidR="008818B5" w:rsidRPr="008818B5">
        <w:rPr>
          <w:rFonts w:asciiTheme="majorHAnsi" w:eastAsia="Times New Roman" w:hAnsiTheme="majorHAnsi" w:cs="Times New Roman"/>
          <w:b/>
          <w:bCs/>
          <w:color w:val="548DD4" w:themeColor="text2" w:themeTint="99"/>
          <w:sz w:val="24"/>
          <w:szCs w:val="24"/>
          <w:lang w:eastAsia="fr-FR"/>
        </w:rPr>
        <w:t xml:space="preserve"> – garde des mineurs en fugue</w:t>
      </w:r>
    </w:p>
    <w:p w:rsidR="00035799" w:rsidRDefault="008818B5"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t>Cette rétention a pour but de permettre aux personnes de retrouver les enfants dont ils ont la garde</w:t>
      </w:r>
    </w:p>
    <w:p w:rsidR="008818B5" w:rsidRDefault="008818B5" w:rsidP="008818B5">
      <w:pPr>
        <w:spacing w:before="100" w:beforeAutospacing="1" w:after="100" w:afterAutospacing="1" w:line="240" w:lineRule="auto"/>
        <w:jc w:val="both"/>
        <w:rPr>
          <w:rFonts w:asciiTheme="majorHAnsi" w:eastAsia="Times New Roman" w:hAnsiTheme="majorHAnsi" w:cs="Times New Roman"/>
          <w:b/>
          <w:color w:val="548DD4" w:themeColor="text2" w:themeTint="99"/>
          <w:sz w:val="24"/>
          <w:szCs w:val="24"/>
          <w:lang w:eastAsia="fr-FR"/>
        </w:rPr>
      </w:pPr>
      <w:r w:rsidRPr="008818B5">
        <w:rPr>
          <w:rFonts w:asciiTheme="majorHAnsi" w:eastAsia="Times New Roman" w:hAnsiTheme="majorHAnsi" w:cs="Times New Roman"/>
          <w:b/>
          <w:color w:val="548DD4" w:themeColor="text2" w:themeTint="99"/>
          <w:sz w:val="24"/>
          <w:szCs w:val="24"/>
          <w:lang w:eastAsia="fr-FR"/>
        </w:rPr>
        <w:t>Recueil temporaire des malades mentaux</w:t>
      </w:r>
    </w:p>
    <w:p w:rsidR="008818B5" w:rsidRDefault="008818B5"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t xml:space="preserve">Ce recueil temporaire est une mesure exceptionnelle qui doit immédiatement aboutir transfert médical dans un </w:t>
      </w:r>
      <w:proofErr w:type="spellStart"/>
      <w:r>
        <w:rPr>
          <w:rFonts w:asciiTheme="majorHAnsi" w:eastAsia="Times New Roman" w:hAnsiTheme="majorHAnsi" w:cs="Times New Roman"/>
          <w:sz w:val="24"/>
          <w:szCs w:val="24"/>
          <w:lang w:eastAsia="fr-FR"/>
        </w:rPr>
        <w:t>étb</w:t>
      </w:r>
      <w:proofErr w:type="spellEnd"/>
      <w:r>
        <w:rPr>
          <w:rFonts w:asciiTheme="majorHAnsi" w:eastAsia="Times New Roman" w:hAnsiTheme="majorHAnsi" w:cs="Times New Roman"/>
          <w:sz w:val="24"/>
          <w:szCs w:val="24"/>
          <w:lang w:eastAsia="fr-FR"/>
        </w:rPr>
        <w:t xml:space="preserve"> spécialisé.</w:t>
      </w:r>
    </w:p>
    <w:p w:rsidR="008818B5" w:rsidRDefault="008818B5"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t>Le placement en chambre de sureté de personne en état d’ivresse</w:t>
      </w:r>
    </w:p>
    <w:p w:rsidR="008818B5" w:rsidRPr="008818B5" w:rsidRDefault="008818B5"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t>Cette mesure de rétention dans une chambre de sureté concerne mes individus arrêtés pour Ivresse Publique Manifeste, pour conduite en état d’ivresse ou pour tout autre délit commis en état d’ivresse. La rétention dure jusqu’à complet de dégrisement.</w:t>
      </w:r>
      <w:bookmarkStart w:id="0" w:name="_GoBack"/>
      <w:bookmarkEnd w:id="0"/>
    </w:p>
    <w:p w:rsidR="008818B5" w:rsidRPr="00035799" w:rsidRDefault="008818B5" w:rsidP="008818B5">
      <w:pPr>
        <w:spacing w:before="100" w:beforeAutospacing="1" w:after="100" w:afterAutospacing="1" w:line="240" w:lineRule="auto"/>
        <w:jc w:val="both"/>
        <w:rPr>
          <w:rFonts w:asciiTheme="majorHAnsi" w:eastAsia="Times New Roman" w:hAnsiTheme="majorHAnsi" w:cs="Times New Roman"/>
          <w:sz w:val="24"/>
          <w:szCs w:val="24"/>
          <w:lang w:eastAsia="fr-FR"/>
        </w:rPr>
      </w:pPr>
    </w:p>
    <w:p w:rsidR="008818B5" w:rsidRPr="00035799" w:rsidRDefault="008818B5">
      <w:pPr>
        <w:spacing w:before="100" w:beforeAutospacing="1" w:after="100" w:afterAutospacing="1" w:line="240" w:lineRule="auto"/>
        <w:jc w:val="both"/>
        <w:rPr>
          <w:rFonts w:asciiTheme="majorHAnsi" w:eastAsia="Times New Roman" w:hAnsiTheme="majorHAnsi" w:cs="Times New Roman"/>
          <w:b/>
          <w:bCs/>
          <w:sz w:val="24"/>
          <w:szCs w:val="24"/>
          <w:lang w:eastAsia="fr-FR"/>
        </w:rPr>
      </w:pPr>
    </w:p>
    <w:sectPr w:rsidR="008818B5" w:rsidRPr="00035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5B1"/>
    <w:multiLevelType w:val="multilevel"/>
    <w:tmpl w:val="BD92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02DD2"/>
    <w:multiLevelType w:val="multilevel"/>
    <w:tmpl w:val="3DE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A10FD"/>
    <w:multiLevelType w:val="multilevel"/>
    <w:tmpl w:val="F4EC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99"/>
    <w:rsid w:val="00035799"/>
    <w:rsid w:val="00526BB1"/>
    <w:rsid w:val="008818B5"/>
    <w:rsid w:val="00D00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57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57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4456">
      <w:bodyDiv w:val="1"/>
      <w:marLeft w:val="0"/>
      <w:marRight w:val="0"/>
      <w:marTop w:val="0"/>
      <w:marBottom w:val="0"/>
      <w:divBdr>
        <w:top w:val="none" w:sz="0" w:space="0" w:color="auto"/>
        <w:left w:val="none" w:sz="0" w:space="0" w:color="auto"/>
        <w:bottom w:val="none" w:sz="0" w:space="0" w:color="auto"/>
        <w:right w:val="none" w:sz="0" w:space="0" w:color="auto"/>
      </w:divBdr>
      <w:divsChild>
        <w:div w:id="1089274013">
          <w:marLeft w:val="0"/>
          <w:marRight w:val="0"/>
          <w:marTop w:val="0"/>
          <w:marBottom w:val="0"/>
          <w:divBdr>
            <w:top w:val="none" w:sz="0" w:space="0" w:color="auto"/>
            <w:left w:val="none" w:sz="0" w:space="0" w:color="auto"/>
            <w:bottom w:val="none" w:sz="0" w:space="0" w:color="auto"/>
            <w:right w:val="none" w:sz="0" w:space="0" w:color="auto"/>
          </w:divBdr>
          <w:divsChild>
            <w:div w:id="1214539430">
              <w:marLeft w:val="0"/>
              <w:marRight w:val="0"/>
              <w:marTop w:val="0"/>
              <w:marBottom w:val="0"/>
              <w:divBdr>
                <w:top w:val="none" w:sz="0" w:space="0" w:color="auto"/>
                <w:left w:val="none" w:sz="0" w:space="0" w:color="auto"/>
                <w:bottom w:val="none" w:sz="0" w:space="0" w:color="auto"/>
                <w:right w:val="none" w:sz="0" w:space="0" w:color="auto"/>
              </w:divBdr>
            </w:div>
            <w:div w:id="51924524">
              <w:marLeft w:val="0"/>
              <w:marRight w:val="0"/>
              <w:marTop w:val="0"/>
              <w:marBottom w:val="0"/>
              <w:divBdr>
                <w:top w:val="none" w:sz="0" w:space="0" w:color="auto"/>
                <w:left w:val="none" w:sz="0" w:space="0" w:color="auto"/>
                <w:bottom w:val="none" w:sz="0" w:space="0" w:color="auto"/>
                <w:right w:val="none" w:sz="0" w:space="0" w:color="auto"/>
              </w:divBdr>
            </w:div>
          </w:divsChild>
        </w:div>
        <w:div w:id="1564175200">
          <w:marLeft w:val="0"/>
          <w:marRight w:val="0"/>
          <w:marTop w:val="0"/>
          <w:marBottom w:val="0"/>
          <w:divBdr>
            <w:top w:val="none" w:sz="0" w:space="0" w:color="auto"/>
            <w:left w:val="none" w:sz="0" w:space="0" w:color="auto"/>
            <w:bottom w:val="none" w:sz="0" w:space="0" w:color="auto"/>
            <w:right w:val="none" w:sz="0" w:space="0" w:color="auto"/>
          </w:divBdr>
        </w:div>
        <w:div w:id="1304429043">
          <w:marLeft w:val="0"/>
          <w:marRight w:val="0"/>
          <w:marTop w:val="0"/>
          <w:marBottom w:val="0"/>
          <w:divBdr>
            <w:top w:val="none" w:sz="0" w:space="0" w:color="auto"/>
            <w:left w:val="none" w:sz="0" w:space="0" w:color="auto"/>
            <w:bottom w:val="none" w:sz="0" w:space="0" w:color="auto"/>
            <w:right w:val="none" w:sz="0" w:space="0" w:color="auto"/>
          </w:divBdr>
          <w:divsChild>
            <w:div w:id="1681662120">
              <w:marLeft w:val="0"/>
              <w:marRight w:val="0"/>
              <w:marTop w:val="0"/>
              <w:marBottom w:val="0"/>
              <w:divBdr>
                <w:top w:val="none" w:sz="0" w:space="0" w:color="auto"/>
                <w:left w:val="none" w:sz="0" w:space="0" w:color="auto"/>
                <w:bottom w:val="none" w:sz="0" w:space="0" w:color="auto"/>
                <w:right w:val="none" w:sz="0" w:space="0" w:color="auto"/>
              </w:divBdr>
              <w:divsChild>
                <w:div w:id="47463487">
                  <w:marLeft w:val="0"/>
                  <w:marRight w:val="0"/>
                  <w:marTop w:val="0"/>
                  <w:marBottom w:val="0"/>
                  <w:divBdr>
                    <w:top w:val="none" w:sz="0" w:space="0" w:color="auto"/>
                    <w:left w:val="none" w:sz="0" w:space="0" w:color="auto"/>
                    <w:bottom w:val="none" w:sz="0" w:space="0" w:color="auto"/>
                    <w:right w:val="none" w:sz="0" w:space="0" w:color="auto"/>
                  </w:divBdr>
                  <w:divsChild>
                    <w:div w:id="17685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Marseille" TargetMode="External"/><Relationship Id="rId13" Type="http://schemas.openxmlformats.org/officeDocument/2006/relationships/hyperlink" Target="http://fr.wikipedia.org/wiki/Libert%C3%A9" TargetMode="External"/><Relationship Id="rId18" Type="http://schemas.openxmlformats.org/officeDocument/2006/relationships/hyperlink" Target="http://fr.wikipedia.org/wiki/Prisonnier_de_guerr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fr.wikipedia.org/wiki/Camps_d%27extermination_nazis" TargetMode="External"/><Relationship Id="rId12" Type="http://schemas.openxmlformats.org/officeDocument/2006/relationships/hyperlink" Target="http://fr.wikipedia.org/wiki/Prison" TargetMode="External"/><Relationship Id="rId17" Type="http://schemas.openxmlformats.org/officeDocument/2006/relationships/hyperlink" Target="http://fr.wikipedia.org/wiki/Camp_de_prisonniers_de_guerre" TargetMode="External"/><Relationship Id="rId2" Type="http://schemas.openxmlformats.org/officeDocument/2006/relationships/styles" Target="styles.xml"/><Relationship Id="rId16" Type="http://schemas.openxmlformats.org/officeDocument/2006/relationships/hyperlink" Target="http://fr.wikipedia.org/wiki/Camp_de_r%C3%A9fugi%C3%A9s" TargetMode="External"/><Relationship Id="rId20" Type="http://schemas.openxmlformats.org/officeDocument/2006/relationships/hyperlink" Target="http://fr.wikipedia.org/wiki/Cimade" TargetMode="External"/><Relationship Id="rId1" Type="http://schemas.openxmlformats.org/officeDocument/2006/relationships/numbering" Target="numbering.xml"/><Relationship Id="rId6" Type="http://schemas.openxmlformats.org/officeDocument/2006/relationships/hyperlink" Target="http://fr.wikipedia.org/wiki/Rafle_du_V%C3%A9lodrome_d%27Hiver" TargetMode="External"/><Relationship Id="rId11" Type="http://schemas.openxmlformats.org/officeDocument/2006/relationships/hyperlink" Target="http://fr.wikipedia.org/wiki/Centre_de_r%C3%A9tention_administrative_en_France" TargetMode="External"/><Relationship Id="rId5" Type="http://schemas.openxmlformats.org/officeDocument/2006/relationships/webSettings" Target="webSettings.xml"/><Relationship Id="rId15" Type="http://schemas.openxmlformats.org/officeDocument/2006/relationships/hyperlink" Target="http://fr.wikipedia.org/wiki/Juridiction_p%C3%A9nale" TargetMode="External"/><Relationship Id="rId10" Type="http://schemas.openxmlformats.org/officeDocument/2006/relationships/hyperlink" Target="http://fr.wikipedia.org/wiki/Police_fran%C3%A7aise" TargetMode="External"/><Relationship Id="rId19" Type="http://schemas.openxmlformats.org/officeDocument/2006/relationships/hyperlink" Target="http://fr.wikipedia.org/wiki/Agence_nationale_de_l%27accueil_des_%C3%A9trangers_et_des_migrants" TargetMode="External"/><Relationship Id="rId4" Type="http://schemas.openxmlformats.org/officeDocument/2006/relationships/settings" Target="settings.xml"/><Relationship Id="rId9" Type="http://schemas.openxmlformats.org/officeDocument/2006/relationships/hyperlink" Target="http://fr.wikipedia.org/wiki/La_Marseillaise_%28journal%29" TargetMode="External"/><Relationship Id="rId14" Type="http://schemas.openxmlformats.org/officeDocument/2006/relationships/hyperlink" Target="http://fr.wikipedia.org/wiki/Droit_p%C3%A9na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955</Words>
  <Characters>5256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3</cp:revision>
  <cp:lastPrinted>2013-04-07T12:12:00Z</cp:lastPrinted>
  <dcterms:created xsi:type="dcterms:W3CDTF">2012-04-09T11:50:00Z</dcterms:created>
  <dcterms:modified xsi:type="dcterms:W3CDTF">2013-04-07T12:27:00Z</dcterms:modified>
</cp:coreProperties>
</file>