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C6" w:rsidRPr="006528C6" w:rsidRDefault="006528C6" w:rsidP="006528C6">
      <w:pPr>
        <w:spacing w:before="100" w:beforeAutospacing="1" w:after="100" w:afterAutospacing="1" w:line="240" w:lineRule="auto"/>
        <w:jc w:val="center"/>
        <w:outlineLvl w:val="0"/>
        <w:rPr>
          <w:rFonts w:asciiTheme="majorHAnsi" w:eastAsia="Times New Roman" w:hAnsiTheme="majorHAnsi" w:cs="Times New Roman"/>
          <w:bCs/>
          <w:kern w:val="36"/>
          <w:sz w:val="40"/>
          <w:szCs w:val="40"/>
          <w:lang w:eastAsia="fr-FR"/>
        </w:rPr>
      </w:pPr>
      <w:r w:rsidRPr="006528C6">
        <w:rPr>
          <w:rFonts w:asciiTheme="majorHAnsi" w:eastAsia="Times New Roman" w:hAnsiTheme="majorHAnsi" w:cs="Times New Roman"/>
          <w:bCs/>
          <w:kern w:val="36"/>
          <w:sz w:val="40"/>
          <w:szCs w:val="40"/>
          <w:lang w:eastAsia="fr-FR"/>
        </w:rPr>
        <w:t>Administration pénitentiaire française</w:t>
      </w:r>
    </w:p>
    <w:p w:rsidR="006528C6" w:rsidRPr="006528C6" w:rsidRDefault="006528C6" w:rsidP="006528C6">
      <w:p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L’</w:t>
      </w:r>
      <w:r w:rsidRPr="006528C6">
        <w:rPr>
          <w:rFonts w:asciiTheme="majorHAnsi" w:eastAsia="Times New Roman" w:hAnsiTheme="majorHAnsi" w:cs="Times New Roman"/>
          <w:bCs/>
          <w:sz w:val="28"/>
          <w:szCs w:val="28"/>
          <w:lang w:eastAsia="fr-FR"/>
        </w:rPr>
        <w:t>Administration pénitentiaire</w:t>
      </w:r>
      <w:r w:rsidRPr="006528C6">
        <w:rPr>
          <w:rFonts w:asciiTheme="majorHAnsi" w:eastAsia="Times New Roman" w:hAnsiTheme="majorHAnsi" w:cs="Times New Roman"/>
          <w:sz w:val="28"/>
          <w:szCs w:val="28"/>
          <w:lang w:eastAsia="fr-FR"/>
        </w:rPr>
        <w:t xml:space="preserve"> française a une triple mission :</w:t>
      </w:r>
    </w:p>
    <w:p w:rsidR="006528C6" w:rsidRPr="006528C6" w:rsidRDefault="006528C6" w:rsidP="006528C6">
      <w:pPr>
        <w:numPr>
          <w:ilvl w:val="0"/>
          <w:numId w:val="1"/>
        </w:num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garder les détenus (accomplissement d’une peine, lutte contre les évasions) ;</w:t>
      </w:r>
    </w:p>
    <w:p w:rsidR="006528C6" w:rsidRPr="006528C6" w:rsidRDefault="006528C6" w:rsidP="006528C6">
      <w:pPr>
        <w:numPr>
          <w:ilvl w:val="0"/>
          <w:numId w:val="1"/>
        </w:num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 xml:space="preserve">les garder dans des conditions acceptables (prévention des suicides, introduction des </w:t>
      </w:r>
      <w:hyperlink r:id="rId6" w:tooltip="Règles pénitentiaires européennes" w:history="1">
        <w:r w:rsidRPr="006528C6">
          <w:rPr>
            <w:rFonts w:asciiTheme="majorHAnsi" w:eastAsia="Times New Roman" w:hAnsiTheme="majorHAnsi" w:cs="Times New Roman"/>
            <w:sz w:val="28"/>
            <w:szCs w:val="28"/>
            <w:lang w:eastAsia="fr-FR"/>
          </w:rPr>
          <w:t>règles pénitentiaires européennes</w:t>
        </w:r>
      </w:hyperlink>
      <w:r w:rsidRPr="006528C6">
        <w:rPr>
          <w:rFonts w:asciiTheme="majorHAnsi" w:eastAsia="Times New Roman" w:hAnsiTheme="majorHAnsi" w:cs="Times New Roman"/>
          <w:sz w:val="28"/>
          <w:szCs w:val="28"/>
          <w:lang w:eastAsia="fr-FR"/>
        </w:rPr>
        <w:t>…) ;</w:t>
      </w:r>
    </w:p>
    <w:p w:rsidR="006528C6" w:rsidRPr="006528C6" w:rsidRDefault="006528C6" w:rsidP="006528C6">
      <w:pPr>
        <w:numPr>
          <w:ilvl w:val="0"/>
          <w:numId w:val="1"/>
        </w:num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 xml:space="preserve">permettre leur </w:t>
      </w:r>
      <w:hyperlink r:id="rId7" w:tooltip="Réinsertion après une peine de prison" w:history="1">
        <w:r w:rsidRPr="006528C6">
          <w:rPr>
            <w:rFonts w:asciiTheme="majorHAnsi" w:eastAsia="Times New Roman" w:hAnsiTheme="majorHAnsi" w:cs="Times New Roman"/>
            <w:sz w:val="28"/>
            <w:szCs w:val="28"/>
            <w:lang w:eastAsia="fr-FR"/>
          </w:rPr>
          <w:t>réinsertion</w:t>
        </w:r>
      </w:hyperlink>
      <w:r w:rsidRPr="006528C6">
        <w:rPr>
          <w:rFonts w:asciiTheme="majorHAnsi" w:eastAsia="Times New Roman" w:hAnsiTheme="majorHAnsi" w:cs="Times New Roman"/>
          <w:sz w:val="28"/>
          <w:szCs w:val="28"/>
          <w:lang w:eastAsia="fr-FR"/>
        </w:rPr>
        <w:t xml:space="preserve"> (familiale ou par le travail).</w:t>
      </w:r>
    </w:p>
    <w:p w:rsidR="006528C6" w:rsidRPr="006528C6" w:rsidRDefault="006528C6" w:rsidP="006528C6">
      <w:p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Pour accomplir ces missions, elle s’appuie sur :</w:t>
      </w:r>
    </w:p>
    <w:p w:rsidR="006528C6" w:rsidRPr="006528C6" w:rsidRDefault="006528C6" w:rsidP="006528C6">
      <w:pPr>
        <w:numPr>
          <w:ilvl w:val="0"/>
          <w:numId w:val="2"/>
        </w:num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 xml:space="preserve">du personnel pénitentiaire à statut spécial (sans </w:t>
      </w:r>
      <w:hyperlink r:id="rId8" w:tooltip="Droit de grève en France" w:history="1">
        <w:r w:rsidRPr="006528C6">
          <w:rPr>
            <w:rFonts w:asciiTheme="majorHAnsi" w:eastAsia="Times New Roman" w:hAnsiTheme="majorHAnsi" w:cs="Times New Roman"/>
            <w:sz w:val="28"/>
            <w:szCs w:val="28"/>
            <w:lang w:eastAsia="fr-FR"/>
          </w:rPr>
          <w:t>droit de grève</w:t>
        </w:r>
      </w:hyperlink>
      <w:r w:rsidRPr="006528C6">
        <w:rPr>
          <w:rFonts w:asciiTheme="majorHAnsi" w:eastAsia="Times New Roman" w:hAnsiTheme="majorHAnsi" w:cs="Times New Roman"/>
          <w:sz w:val="28"/>
          <w:szCs w:val="28"/>
          <w:lang w:eastAsia="fr-FR"/>
        </w:rPr>
        <w:t xml:space="preserve"> notamment, comme les </w:t>
      </w:r>
      <w:hyperlink r:id="rId9" w:tooltip="Magistrats" w:history="1">
        <w:r w:rsidRPr="006528C6">
          <w:rPr>
            <w:rFonts w:asciiTheme="majorHAnsi" w:eastAsia="Times New Roman" w:hAnsiTheme="majorHAnsi" w:cs="Times New Roman"/>
            <w:sz w:val="28"/>
            <w:szCs w:val="28"/>
            <w:lang w:eastAsia="fr-FR"/>
          </w:rPr>
          <w:t>magistrats</w:t>
        </w:r>
      </w:hyperlink>
      <w:r w:rsidRPr="006528C6">
        <w:rPr>
          <w:rFonts w:asciiTheme="majorHAnsi" w:eastAsia="Times New Roman" w:hAnsiTheme="majorHAnsi" w:cs="Times New Roman"/>
          <w:sz w:val="28"/>
          <w:szCs w:val="28"/>
          <w:lang w:eastAsia="fr-FR"/>
        </w:rPr>
        <w:t xml:space="preserve"> ou les </w:t>
      </w:r>
      <w:hyperlink r:id="rId10" w:tooltip="Compagnie républicaine de sécurité" w:history="1">
        <w:r w:rsidRPr="006528C6">
          <w:rPr>
            <w:rFonts w:asciiTheme="majorHAnsi" w:eastAsia="Times New Roman" w:hAnsiTheme="majorHAnsi" w:cs="Times New Roman"/>
            <w:sz w:val="28"/>
            <w:szCs w:val="28"/>
            <w:lang w:eastAsia="fr-FR"/>
          </w:rPr>
          <w:t>CRS</w:t>
        </w:r>
      </w:hyperlink>
      <w:r w:rsidRPr="006528C6">
        <w:rPr>
          <w:rFonts w:asciiTheme="majorHAnsi" w:eastAsia="Times New Roman" w:hAnsiTheme="majorHAnsi" w:cs="Times New Roman"/>
          <w:sz w:val="28"/>
          <w:szCs w:val="28"/>
          <w:lang w:eastAsia="fr-FR"/>
        </w:rPr>
        <w:t>) : ce sont les corps direction et de surveillance ;</w:t>
      </w:r>
    </w:p>
    <w:p w:rsidR="006528C6" w:rsidRPr="006528C6" w:rsidRDefault="006528C6" w:rsidP="006528C6">
      <w:pPr>
        <w:numPr>
          <w:ilvl w:val="0"/>
          <w:numId w:val="2"/>
        </w:num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du personnel chargé de l’insertion et de la probation ;</w:t>
      </w:r>
    </w:p>
    <w:p w:rsidR="006528C6" w:rsidRPr="006528C6" w:rsidRDefault="006528C6" w:rsidP="006528C6">
      <w:pPr>
        <w:numPr>
          <w:ilvl w:val="0"/>
          <w:numId w:val="2"/>
        </w:num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du personnel administratif ;</w:t>
      </w:r>
    </w:p>
    <w:p w:rsidR="006528C6" w:rsidRPr="006528C6" w:rsidRDefault="006528C6" w:rsidP="006528C6">
      <w:pPr>
        <w:numPr>
          <w:ilvl w:val="0"/>
          <w:numId w:val="2"/>
        </w:num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et du personnel technique.</w:t>
      </w:r>
    </w:p>
    <w:p w:rsidR="006528C6" w:rsidRPr="006528C6" w:rsidRDefault="006528C6" w:rsidP="006528C6">
      <w:p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br/>
        <w:t>L’organisation territoriale de l’administration pénitentiaire s’articule autour de trois niveaux : l’</w:t>
      </w:r>
      <w:r w:rsidRPr="006528C6">
        <w:rPr>
          <w:rFonts w:asciiTheme="majorHAnsi" w:eastAsia="Times New Roman" w:hAnsiTheme="majorHAnsi" w:cs="Times New Roman"/>
          <w:i/>
          <w:iCs/>
          <w:sz w:val="28"/>
          <w:szCs w:val="28"/>
          <w:lang w:eastAsia="fr-FR"/>
        </w:rPr>
        <w:t>administration centrale</w:t>
      </w:r>
      <w:r w:rsidRPr="006528C6">
        <w:rPr>
          <w:rFonts w:asciiTheme="majorHAnsi" w:eastAsia="Times New Roman" w:hAnsiTheme="majorHAnsi" w:cs="Times New Roman"/>
          <w:sz w:val="28"/>
          <w:szCs w:val="28"/>
          <w:lang w:eastAsia="fr-FR"/>
        </w:rPr>
        <w:t xml:space="preserve"> qui définit la politique applicable sur le territoire, les </w:t>
      </w:r>
      <w:r w:rsidRPr="006528C6">
        <w:rPr>
          <w:rFonts w:asciiTheme="majorHAnsi" w:eastAsia="Times New Roman" w:hAnsiTheme="majorHAnsi" w:cs="Times New Roman"/>
          <w:i/>
          <w:iCs/>
          <w:sz w:val="28"/>
          <w:szCs w:val="28"/>
          <w:lang w:eastAsia="fr-FR"/>
        </w:rPr>
        <w:t>directions interrégionales</w:t>
      </w:r>
      <w:r w:rsidRPr="006528C6">
        <w:rPr>
          <w:rFonts w:asciiTheme="majorHAnsi" w:eastAsia="Times New Roman" w:hAnsiTheme="majorHAnsi" w:cs="Times New Roman"/>
          <w:sz w:val="28"/>
          <w:szCs w:val="28"/>
          <w:lang w:eastAsia="fr-FR"/>
        </w:rPr>
        <w:t xml:space="preserve"> qui mutualisent les services support (personnel, budget, informatique, sécurité) et les </w:t>
      </w:r>
      <w:r w:rsidRPr="006528C6">
        <w:rPr>
          <w:rFonts w:asciiTheme="majorHAnsi" w:eastAsia="Times New Roman" w:hAnsiTheme="majorHAnsi" w:cs="Times New Roman"/>
          <w:i/>
          <w:iCs/>
          <w:sz w:val="28"/>
          <w:szCs w:val="28"/>
          <w:lang w:eastAsia="fr-FR"/>
        </w:rPr>
        <w:t>établissements pénitentiaires</w:t>
      </w:r>
      <w:r w:rsidRPr="006528C6">
        <w:rPr>
          <w:rFonts w:asciiTheme="majorHAnsi" w:eastAsia="Times New Roman" w:hAnsiTheme="majorHAnsi" w:cs="Times New Roman"/>
          <w:sz w:val="28"/>
          <w:szCs w:val="28"/>
          <w:lang w:eastAsia="fr-FR"/>
        </w:rPr>
        <w:t xml:space="preserve"> ou ceux d’insertion-probation.</w:t>
      </w:r>
    </w:p>
    <w:p w:rsidR="006528C6" w:rsidRDefault="006528C6" w:rsidP="006528C6">
      <w:p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 xml:space="preserve">Les </w:t>
      </w:r>
      <w:r w:rsidRPr="006528C6">
        <w:rPr>
          <w:rFonts w:asciiTheme="majorHAnsi" w:eastAsia="Times New Roman" w:hAnsiTheme="majorHAnsi" w:cs="Times New Roman"/>
          <w:bCs/>
          <w:sz w:val="28"/>
          <w:szCs w:val="28"/>
          <w:lang w:eastAsia="fr-FR"/>
        </w:rPr>
        <w:t>établissements pénitentiaires français</w:t>
      </w:r>
      <w:r w:rsidRPr="006528C6">
        <w:rPr>
          <w:rFonts w:asciiTheme="majorHAnsi" w:eastAsia="Times New Roman" w:hAnsiTheme="majorHAnsi" w:cs="Times New Roman"/>
          <w:sz w:val="28"/>
          <w:szCs w:val="28"/>
          <w:lang w:eastAsia="fr-FR"/>
        </w:rPr>
        <w:t xml:space="preserve"> sont gérés par l'</w:t>
      </w:r>
      <w:hyperlink r:id="rId11" w:tooltip="Direction de l'administration pénitentiaire" w:history="1">
        <w:r w:rsidRPr="006528C6">
          <w:rPr>
            <w:rFonts w:asciiTheme="majorHAnsi" w:eastAsia="Times New Roman" w:hAnsiTheme="majorHAnsi" w:cs="Times New Roman"/>
            <w:sz w:val="28"/>
            <w:szCs w:val="28"/>
            <w:lang w:eastAsia="fr-FR"/>
          </w:rPr>
          <w:t>Administration pénitentiaire</w:t>
        </w:r>
      </w:hyperlink>
      <w:r w:rsidRPr="006528C6">
        <w:rPr>
          <w:rFonts w:asciiTheme="majorHAnsi" w:eastAsia="Times New Roman" w:hAnsiTheme="majorHAnsi" w:cs="Times New Roman"/>
          <w:sz w:val="28"/>
          <w:szCs w:val="28"/>
          <w:lang w:eastAsia="fr-FR"/>
        </w:rPr>
        <w:t xml:space="preserve"> (rattachée au </w:t>
      </w:r>
      <w:hyperlink r:id="rId12" w:tooltip="Ministère de la Justice (France)" w:history="1">
        <w:r w:rsidRPr="006528C6">
          <w:rPr>
            <w:rFonts w:asciiTheme="majorHAnsi" w:eastAsia="Times New Roman" w:hAnsiTheme="majorHAnsi" w:cs="Times New Roman"/>
            <w:sz w:val="28"/>
            <w:szCs w:val="28"/>
            <w:lang w:eastAsia="fr-FR"/>
          </w:rPr>
          <w:t>ministère de la Justice</w:t>
        </w:r>
      </w:hyperlink>
      <w:r w:rsidRPr="006528C6">
        <w:rPr>
          <w:rFonts w:asciiTheme="majorHAnsi" w:eastAsia="Times New Roman" w:hAnsiTheme="majorHAnsi" w:cs="Times New Roman"/>
          <w:sz w:val="28"/>
          <w:szCs w:val="28"/>
          <w:lang w:eastAsia="fr-FR"/>
        </w:rPr>
        <w:t xml:space="preserve"> depuis </w:t>
      </w:r>
      <w:hyperlink r:id="rId13" w:tooltip="1911" w:history="1">
        <w:r w:rsidRPr="006528C6">
          <w:rPr>
            <w:rFonts w:asciiTheme="majorHAnsi" w:eastAsia="Times New Roman" w:hAnsiTheme="majorHAnsi" w:cs="Times New Roman"/>
            <w:sz w:val="28"/>
            <w:szCs w:val="28"/>
            <w:lang w:eastAsia="fr-FR"/>
          </w:rPr>
          <w:t>1911</w:t>
        </w:r>
      </w:hyperlink>
      <w:r w:rsidRPr="006528C6">
        <w:rPr>
          <w:rFonts w:asciiTheme="majorHAnsi" w:eastAsia="Times New Roman" w:hAnsiTheme="majorHAnsi" w:cs="Times New Roman"/>
          <w:sz w:val="28"/>
          <w:szCs w:val="28"/>
          <w:lang w:eastAsia="fr-FR"/>
        </w:rPr>
        <w:t xml:space="preserve">). Ils font partie des </w:t>
      </w:r>
      <w:hyperlink r:id="rId14" w:tooltip="Lieux privatifs de liberté" w:history="1">
        <w:r w:rsidRPr="006528C6">
          <w:rPr>
            <w:rFonts w:asciiTheme="majorHAnsi" w:eastAsia="Times New Roman" w:hAnsiTheme="majorHAnsi" w:cs="Times New Roman"/>
            <w:sz w:val="28"/>
            <w:szCs w:val="28"/>
            <w:lang w:eastAsia="fr-FR"/>
          </w:rPr>
          <w:t>lieux privatifs de liberté</w:t>
        </w:r>
      </w:hyperlink>
      <w:r w:rsidRPr="006528C6">
        <w:rPr>
          <w:rFonts w:asciiTheme="majorHAnsi" w:eastAsia="Times New Roman" w:hAnsiTheme="majorHAnsi" w:cs="Times New Roman"/>
          <w:sz w:val="28"/>
          <w:szCs w:val="28"/>
          <w:lang w:eastAsia="fr-FR"/>
        </w:rPr>
        <w:t>.</w:t>
      </w:r>
    </w:p>
    <w:p w:rsidR="006528C6" w:rsidRPr="006528C6" w:rsidRDefault="006528C6" w:rsidP="006528C6">
      <w:pPr>
        <w:spacing w:before="100" w:beforeAutospacing="1" w:after="100" w:afterAutospacing="1" w:line="240" w:lineRule="auto"/>
        <w:rPr>
          <w:rFonts w:asciiTheme="majorHAnsi" w:eastAsia="Times New Roman" w:hAnsiTheme="majorHAnsi" w:cs="Times New Roman"/>
          <w:b/>
          <w:color w:val="FF0000"/>
          <w:sz w:val="28"/>
          <w:szCs w:val="28"/>
          <w:lang w:eastAsia="fr-FR"/>
        </w:rPr>
      </w:pPr>
      <w:r w:rsidRPr="006528C6">
        <w:rPr>
          <w:rFonts w:asciiTheme="majorHAnsi" w:eastAsia="Times New Roman" w:hAnsiTheme="majorHAnsi" w:cs="Times New Roman"/>
          <w:b/>
          <w:color w:val="FF0000"/>
          <w:sz w:val="28"/>
          <w:szCs w:val="28"/>
          <w:lang w:eastAsia="fr-FR"/>
        </w:rPr>
        <w:t xml:space="preserve">Les établissements </w:t>
      </w:r>
      <w:r w:rsidRPr="006528C6">
        <w:rPr>
          <w:rFonts w:asciiTheme="majorHAnsi" w:eastAsia="Times New Roman" w:hAnsiTheme="majorHAnsi" w:cs="Times New Roman"/>
          <w:b/>
          <w:bCs/>
          <w:color w:val="FF0000"/>
          <w:sz w:val="28"/>
          <w:szCs w:val="28"/>
          <w:lang w:eastAsia="fr-FR"/>
        </w:rPr>
        <w:t>pénitentiaires</w:t>
      </w:r>
    </w:p>
    <w:p w:rsidR="006528C6" w:rsidRPr="006528C6" w:rsidRDefault="006528C6" w:rsidP="006528C6">
      <w:p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Il existe plusieurs types d'établissements :</w:t>
      </w:r>
    </w:p>
    <w:p w:rsidR="006528C6" w:rsidRPr="006528C6" w:rsidRDefault="006528C6" w:rsidP="006528C6">
      <w:pPr>
        <w:numPr>
          <w:ilvl w:val="0"/>
          <w:numId w:val="3"/>
        </w:num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 xml:space="preserve">les </w:t>
      </w:r>
      <w:hyperlink r:id="rId15" w:tooltip="Maisons d'arrêt" w:history="1">
        <w:r w:rsidRPr="006528C6">
          <w:rPr>
            <w:rFonts w:asciiTheme="majorHAnsi" w:eastAsia="Times New Roman" w:hAnsiTheme="majorHAnsi" w:cs="Times New Roman"/>
            <w:sz w:val="28"/>
            <w:szCs w:val="28"/>
            <w:lang w:eastAsia="fr-FR"/>
          </w:rPr>
          <w:t>maisons d'arrêt</w:t>
        </w:r>
      </w:hyperlink>
      <w:r w:rsidRPr="006528C6">
        <w:rPr>
          <w:rFonts w:asciiTheme="majorHAnsi" w:eastAsia="Times New Roman" w:hAnsiTheme="majorHAnsi" w:cs="Times New Roman"/>
          <w:sz w:val="28"/>
          <w:szCs w:val="28"/>
          <w:lang w:eastAsia="fr-FR"/>
        </w:rPr>
        <w:t xml:space="preserve"> (MA) accueillent théoriquement les prévenus (détenus en attente de jugement) et les détenus dont le reliquat de peine au moment du jugement est inférieur à un an ;</w:t>
      </w:r>
    </w:p>
    <w:p w:rsidR="006528C6" w:rsidRPr="006528C6" w:rsidRDefault="006528C6" w:rsidP="006528C6">
      <w:pPr>
        <w:numPr>
          <w:ilvl w:val="0"/>
          <w:numId w:val="3"/>
        </w:num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 xml:space="preserve">les </w:t>
      </w:r>
      <w:hyperlink r:id="rId16" w:tooltip="Centre de détention" w:history="1">
        <w:r w:rsidRPr="006528C6">
          <w:rPr>
            <w:rFonts w:asciiTheme="majorHAnsi" w:eastAsia="Times New Roman" w:hAnsiTheme="majorHAnsi" w:cs="Times New Roman"/>
            <w:sz w:val="28"/>
            <w:szCs w:val="28"/>
            <w:lang w:eastAsia="fr-FR"/>
          </w:rPr>
          <w:t>centres de détentions</w:t>
        </w:r>
      </w:hyperlink>
      <w:r w:rsidRPr="006528C6">
        <w:rPr>
          <w:rFonts w:asciiTheme="majorHAnsi" w:eastAsia="Times New Roman" w:hAnsiTheme="majorHAnsi" w:cs="Times New Roman"/>
          <w:sz w:val="28"/>
          <w:szCs w:val="28"/>
          <w:lang w:eastAsia="fr-FR"/>
        </w:rPr>
        <w:t xml:space="preserve"> (CD) n'accueillent en théorie que des détenus dont la peine est supérieure ou égale à un an. Leur régime de détention est principalement orienté vers la resocialisation des détenus ;</w:t>
      </w:r>
    </w:p>
    <w:p w:rsidR="006528C6" w:rsidRPr="006528C6" w:rsidRDefault="006528C6" w:rsidP="006528C6">
      <w:pPr>
        <w:numPr>
          <w:ilvl w:val="0"/>
          <w:numId w:val="3"/>
        </w:num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lastRenderedPageBreak/>
        <w:t xml:space="preserve">les </w:t>
      </w:r>
      <w:hyperlink r:id="rId17" w:tooltip="Maison centrale" w:history="1">
        <w:r w:rsidRPr="006528C6">
          <w:rPr>
            <w:rFonts w:asciiTheme="majorHAnsi" w:eastAsia="Times New Roman" w:hAnsiTheme="majorHAnsi" w:cs="Times New Roman"/>
            <w:sz w:val="28"/>
            <w:szCs w:val="28"/>
            <w:lang w:eastAsia="fr-FR"/>
          </w:rPr>
          <w:t>maisons centrales</w:t>
        </w:r>
      </w:hyperlink>
      <w:r w:rsidRPr="006528C6">
        <w:rPr>
          <w:rFonts w:asciiTheme="majorHAnsi" w:eastAsia="Times New Roman" w:hAnsiTheme="majorHAnsi" w:cs="Times New Roman"/>
          <w:sz w:val="28"/>
          <w:szCs w:val="28"/>
          <w:lang w:eastAsia="fr-FR"/>
        </w:rPr>
        <w:t xml:space="preserve"> (MC) reçoivent les condamnés les plus difficiles dont les perspectives de réinsertion sont plus lointaines. C’est en maison centrale que les dispositifs de sécurité sont les plus renforcés.</w:t>
      </w:r>
    </w:p>
    <w:p w:rsidR="006528C6" w:rsidRPr="006528C6" w:rsidRDefault="006528C6" w:rsidP="006528C6">
      <w:pPr>
        <w:numPr>
          <w:ilvl w:val="0"/>
          <w:numId w:val="3"/>
        </w:num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 xml:space="preserve">les </w:t>
      </w:r>
      <w:r w:rsidRPr="006528C6">
        <w:rPr>
          <w:rFonts w:asciiTheme="majorHAnsi" w:eastAsia="Times New Roman" w:hAnsiTheme="majorHAnsi" w:cs="Times New Roman"/>
          <w:bCs/>
          <w:sz w:val="28"/>
          <w:szCs w:val="28"/>
          <w:lang w:eastAsia="fr-FR"/>
        </w:rPr>
        <w:t xml:space="preserve">centres de </w:t>
      </w:r>
      <w:proofErr w:type="spellStart"/>
      <w:r w:rsidRPr="006528C6">
        <w:rPr>
          <w:rFonts w:asciiTheme="majorHAnsi" w:eastAsia="Times New Roman" w:hAnsiTheme="majorHAnsi" w:cs="Times New Roman"/>
          <w:bCs/>
          <w:sz w:val="28"/>
          <w:szCs w:val="28"/>
          <w:lang w:eastAsia="fr-FR"/>
        </w:rPr>
        <w:t>semi liberté</w:t>
      </w:r>
      <w:proofErr w:type="spellEnd"/>
      <w:r w:rsidRPr="006528C6">
        <w:rPr>
          <w:rFonts w:asciiTheme="majorHAnsi" w:eastAsia="Times New Roman" w:hAnsiTheme="majorHAnsi" w:cs="Times New Roman"/>
          <w:sz w:val="28"/>
          <w:szCs w:val="28"/>
          <w:lang w:eastAsia="fr-FR"/>
        </w:rPr>
        <w:t xml:space="preserve"> (CSL) ou </w:t>
      </w:r>
      <w:r w:rsidRPr="006528C6">
        <w:rPr>
          <w:rFonts w:asciiTheme="majorHAnsi" w:eastAsia="Times New Roman" w:hAnsiTheme="majorHAnsi" w:cs="Times New Roman"/>
          <w:bCs/>
          <w:i/>
          <w:iCs/>
          <w:sz w:val="28"/>
          <w:szCs w:val="28"/>
          <w:lang w:eastAsia="fr-FR"/>
        </w:rPr>
        <w:t xml:space="preserve">quartiers de </w:t>
      </w:r>
      <w:proofErr w:type="spellStart"/>
      <w:r w:rsidRPr="006528C6">
        <w:rPr>
          <w:rFonts w:asciiTheme="majorHAnsi" w:eastAsia="Times New Roman" w:hAnsiTheme="majorHAnsi" w:cs="Times New Roman"/>
          <w:bCs/>
          <w:i/>
          <w:iCs/>
          <w:sz w:val="28"/>
          <w:szCs w:val="28"/>
          <w:lang w:eastAsia="fr-FR"/>
        </w:rPr>
        <w:t>semi liberté</w:t>
      </w:r>
      <w:proofErr w:type="spellEnd"/>
      <w:r w:rsidRPr="006528C6">
        <w:rPr>
          <w:rFonts w:asciiTheme="majorHAnsi" w:eastAsia="Times New Roman" w:hAnsiTheme="majorHAnsi" w:cs="Times New Roman"/>
          <w:bCs/>
          <w:i/>
          <w:iCs/>
          <w:sz w:val="28"/>
          <w:szCs w:val="28"/>
          <w:lang w:eastAsia="fr-FR"/>
        </w:rPr>
        <w:t xml:space="preserve"> (QSL)</w:t>
      </w:r>
      <w:r w:rsidRPr="006528C6">
        <w:rPr>
          <w:rFonts w:asciiTheme="majorHAnsi" w:eastAsia="Times New Roman" w:hAnsiTheme="majorHAnsi" w:cs="Times New Roman"/>
          <w:sz w:val="28"/>
          <w:szCs w:val="28"/>
          <w:lang w:eastAsia="fr-FR"/>
        </w:rPr>
        <w:t xml:space="preserve"> reçoivent des condamnés admis par le </w:t>
      </w:r>
      <w:hyperlink r:id="rId18" w:tooltip="Juge d'application des peines" w:history="1">
        <w:r w:rsidRPr="006528C6">
          <w:rPr>
            <w:rFonts w:asciiTheme="majorHAnsi" w:eastAsia="Times New Roman" w:hAnsiTheme="majorHAnsi" w:cs="Times New Roman"/>
            <w:sz w:val="28"/>
            <w:szCs w:val="28"/>
            <w:lang w:eastAsia="fr-FR"/>
          </w:rPr>
          <w:t>juge d'application des peines</w:t>
        </w:r>
      </w:hyperlink>
      <w:r w:rsidRPr="006528C6">
        <w:rPr>
          <w:rFonts w:asciiTheme="majorHAnsi" w:eastAsia="Times New Roman" w:hAnsiTheme="majorHAnsi" w:cs="Times New Roman"/>
          <w:sz w:val="28"/>
          <w:szCs w:val="28"/>
          <w:lang w:eastAsia="fr-FR"/>
        </w:rPr>
        <w:t xml:space="preserve"> au régime du placement extérieur sans surveillance ou de la semi-liberté : le condamné détenu peut s’absenter de l’établissement pénitentiaire pour exercer une activité professionnelle, suivre un enseignement ou une formation ou encore bénéficier d’un traitement médical ;</w:t>
      </w:r>
    </w:p>
    <w:p w:rsidR="006528C6" w:rsidRPr="006528C6" w:rsidRDefault="006528C6" w:rsidP="006528C6">
      <w:pPr>
        <w:numPr>
          <w:ilvl w:val="0"/>
          <w:numId w:val="3"/>
        </w:num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 xml:space="preserve">les </w:t>
      </w:r>
      <w:r w:rsidRPr="006528C6">
        <w:rPr>
          <w:rFonts w:asciiTheme="majorHAnsi" w:eastAsia="Times New Roman" w:hAnsiTheme="majorHAnsi" w:cs="Times New Roman"/>
          <w:bCs/>
          <w:i/>
          <w:iCs/>
          <w:sz w:val="28"/>
          <w:szCs w:val="28"/>
          <w:lang w:eastAsia="fr-FR"/>
        </w:rPr>
        <w:t>centres pénitentiaires (CP)</w:t>
      </w:r>
      <w:r w:rsidRPr="006528C6">
        <w:rPr>
          <w:rFonts w:asciiTheme="majorHAnsi" w:eastAsia="Times New Roman" w:hAnsiTheme="majorHAnsi" w:cs="Times New Roman"/>
          <w:sz w:val="28"/>
          <w:szCs w:val="28"/>
          <w:lang w:eastAsia="fr-FR"/>
        </w:rPr>
        <w:t xml:space="preserve"> sont des établissements mixtes comprenant au moins deux quartiers avec des régimes de détention différents (MA/CD, CD/MC, etc.) ;</w:t>
      </w:r>
    </w:p>
    <w:p w:rsidR="006528C6" w:rsidRPr="006528C6" w:rsidRDefault="006528C6" w:rsidP="006528C6">
      <w:pPr>
        <w:numPr>
          <w:ilvl w:val="0"/>
          <w:numId w:val="3"/>
        </w:numPr>
        <w:spacing w:before="100" w:beforeAutospacing="1" w:after="100" w:afterAutospacing="1" w:line="240" w:lineRule="auto"/>
        <w:rPr>
          <w:rFonts w:asciiTheme="majorHAnsi" w:eastAsia="Times New Roman" w:hAnsiTheme="majorHAnsi" w:cs="Times New Roman"/>
          <w:sz w:val="28"/>
          <w:szCs w:val="28"/>
          <w:lang w:eastAsia="fr-FR"/>
        </w:rPr>
      </w:pPr>
      <w:r w:rsidRPr="006528C6">
        <w:rPr>
          <w:rFonts w:asciiTheme="majorHAnsi" w:eastAsia="Times New Roman" w:hAnsiTheme="majorHAnsi" w:cs="Times New Roman"/>
          <w:sz w:val="28"/>
          <w:szCs w:val="28"/>
          <w:lang w:eastAsia="fr-FR"/>
        </w:rPr>
        <w:t xml:space="preserve">les </w:t>
      </w:r>
      <w:hyperlink r:id="rId19" w:tooltip="Établissement pénitentiaire pour mineurs" w:history="1">
        <w:r w:rsidRPr="006528C6">
          <w:rPr>
            <w:rFonts w:asciiTheme="majorHAnsi" w:eastAsia="Times New Roman" w:hAnsiTheme="majorHAnsi" w:cs="Times New Roman"/>
            <w:sz w:val="28"/>
            <w:szCs w:val="28"/>
            <w:lang w:eastAsia="fr-FR"/>
          </w:rPr>
          <w:t>établissements pour mineurs</w:t>
        </w:r>
      </w:hyperlink>
      <w:r w:rsidRPr="006528C6">
        <w:rPr>
          <w:rFonts w:asciiTheme="majorHAnsi" w:eastAsia="Times New Roman" w:hAnsiTheme="majorHAnsi" w:cs="Times New Roman"/>
          <w:sz w:val="28"/>
          <w:szCs w:val="28"/>
          <w:lang w:eastAsia="fr-FR"/>
        </w:rPr>
        <w:t xml:space="preserve"> (EPM) sont des lieux de détentions qui, comme leur nom l'indique, sont réservés à l'accueil des détenus mineurs.</w:t>
      </w:r>
    </w:p>
    <w:p w:rsidR="006528C6" w:rsidRPr="006528C6" w:rsidRDefault="006528C6" w:rsidP="006528C6">
      <w:pPr>
        <w:rPr>
          <w:rFonts w:asciiTheme="majorHAnsi" w:hAnsiTheme="majorHAnsi"/>
          <w:b/>
          <w:color w:val="FF0000"/>
          <w:sz w:val="28"/>
          <w:szCs w:val="28"/>
        </w:rPr>
      </w:pPr>
      <w:r w:rsidRPr="006528C6">
        <w:rPr>
          <w:rFonts w:asciiTheme="majorHAnsi" w:hAnsiTheme="majorHAnsi"/>
          <w:b/>
          <w:color w:val="FF0000"/>
          <w:sz w:val="28"/>
          <w:szCs w:val="28"/>
        </w:rPr>
        <w:t>Les missions de l'administration pénitentiaire</w:t>
      </w:r>
    </w:p>
    <w:p w:rsidR="006528C6" w:rsidRDefault="006528C6" w:rsidP="006528C6">
      <w:pPr>
        <w:rPr>
          <w:rFonts w:asciiTheme="majorHAnsi" w:hAnsiTheme="majorHAnsi"/>
          <w:sz w:val="28"/>
          <w:szCs w:val="28"/>
        </w:rPr>
      </w:pPr>
      <w:r w:rsidRPr="006528C6">
        <w:rPr>
          <w:rFonts w:asciiTheme="majorHAnsi" w:hAnsiTheme="majorHAnsi"/>
          <w:sz w:val="28"/>
          <w:szCs w:val="28"/>
        </w:rPr>
        <w:t xml:space="preserve">Le service public pénitentiaire assume une double mission : il participe à l'exécution des décisions et sentences pénales et au maintien de la sécurité publique et il favorise la réinsertion sociale des personnes qui lui sont confiées par l'autorité judiciaire. Il est organisé de manière à assurer </w:t>
      </w:r>
      <w:r>
        <w:rPr>
          <w:rFonts w:asciiTheme="majorHAnsi" w:hAnsiTheme="majorHAnsi"/>
          <w:sz w:val="28"/>
          <w:szCs w:val="28"/>
        </w:rPr>
        <w:t>l'individualisation des peines</w:t>
      </w:r>
    </w:p>
    <w:p w:rsidR="006528C6" w:rsidRPr="006528C6" w:rsidRDefault="006528C6" w:rsidP="006528C6">
      <w:pPr>
        <w:rPr>
          <w:rFonts w:asciiTheme="majorHAnsi" w:hAnsiTheme="majorHAnsi"/>
          <w:b/>
          <w:sz w:val="28"/>
          <w:szCs w:val="28"/>
        </w:rPr>
      </w:pPr>
      <w:r w:rsidRPr="006528C6">
        <w:rPr>
          <w:rFonts w:asciiTheme="majorHAnsi" w:hAnsiTheme="majorHAnsi"/>
          <w:sz w:val="28"/>
          <w:szCs w:val="28"/>
        </w:rPr>
        <w:t xml:space="preserve">  </w:t>
      </w:r>
    </w:p>
    <w:p w:rsidR="006528C6" w:rsidRPr="006528C6" w:rsidRDefault="006528C6" w:rsidP="006528C6">
      <w:pPr>
        <w:pStyle w:val="Paragraphedeliste"/>
        <w:numPr>
          <w:ilvl w:val="0"/>
          <w:numId w:val="4"/>
        </w:numPr>
        <w:rPr>
          <w:rFonts w:asciiTheme="majorHAnsi" w:hAnsiTheme="majorHAnsi"/>
          <w:sz w:val="28"/>
          <w:szCs w:val="28"/>
        </w:rPr>
      </w:pPr>
      <w:r w:rsidRPr="006528C6">
        <w:rPr>
          <w:rFonts w:asciiTheme="majorHAnsi" w:hAnsiTheme="majorHAnsi"/>
          <w:color w:val="000000" w:themeColor="text1"/>
          <w:sz w:val="28"/>
          <w:szCs w:val="28"/>
        </w:rPr>
        <w:t>L'exécution des pe</w:t>
      </w:r>
      <w:r>
        <w:rPr>
          <w:rFonts w:asciiTheme="majorHAnsi" w:hAnsiTheme="majorHAnsi"/>
          <w:color w:val="000000" w:themeColor="text1"/>
          <w:sz w:val="28"/>
          <w:szCs w:val="28"/>
        </w:rPr>
        <w:t xml:space="preserve">ines. </w:t>
      </w:r>
      <w:bookmarkStart w:id="0" w:name="_GoBack"/>
      <w:bookmarkEnd w:id="0"/>
      <w:r w:rsidRPr="006528C6">
        <w:rPr>
          <w:rFonts w:asciiTheme="majorHAnsi" w:hAnsiTheme="majorHAnsi"/>
          <w:sz w:val="28"/>
          <w:szCs w:val="28"/>
        </w:rPr>
        <w:t>L’administration</w:t>
      </w:r>
      <w:r w:rsidRPr="006528C6">
        <w:rPr>
          <w:rFonts w:asciiTheme="majorHAnsi" w:hAnsiTheme="majorHAnsi"/>
          <w:sz w:val="28"/>
          <w:szCs w:val="28"/>
        </w:rPr>
        <w:t xml:space="preserve"> pénitentiaire prend en charge les personnes placées </w:t>
      </w:r>
      <w:r w:rsidRPr="006528C6">
        <w:rPr>
          <w:rFonts w:asciiTheme="majorHAnsi" w:hAnsiTheme="majorHAnsi"/>
          <w:sz w:val="28"/>
          <w:szCs w:val="28"/>
        </w:rPr>
        <w:t>sous-main</w:t>
      </w:r>
      <w:r w:rsidRPr="006528C6">
        <w:rPr>
          <w:rFonts w:asciiTheme="majorHAnsi" w:hAnsiTheme="majorHAnsi"/>
          <w:sz w:val="28"/>
          <w:szCs w:val="28"/>
        </w:rPr>
        <w:t xml:space="preserve"> de justice. Les mesures prononcées à leur égard interviennent avant ou après jugement et sont exécutées soit en milieu fermé, dans les prisons, soit en milieu ouvert, avec ou sans enfermement préalable.</w:t>
      </w:r>
    </w:p>
    <w:p w:rsidR="006528C6" w:rsidRPr="006528C6" w:rsidRDefault="006528C6" w:rsidP="006528C6">
      <w:pPr>
        <w:pStyle w:val="Paragraphedeliste"/>
        <w:numPr>
          <w:ilvl w:val="0"/>
          <w:numId w:val="4"/>
        </w:numPr>
        <w:rPr>
          <w:rFonts w:asciiTheme="majorHAnsi" w:hAnsiTheme="majorHAnsi"/>
          <w:sz w:val="28"/>
          <w:szCs w:val="28"/>
        </w:rPr>
      </w:pPr>
      <w:r w:rsidRPr="006528C6">
        <w:rPr>
          <w:rFonts w:asciiTheme="majorHAnsi" w:hAnsiTheme="majorHAnsi"/>
          <w:sz w:val="28"/>
          <w:szCs w:val="28"/>
        </w:rPr>
        <w:t>La réinsertion sociale : en collaboration avec des partenaires publics ou associatifs, l'administration pénitentiaire met en place des dispositifs d'insertion qu'elle propose aux détenus ou aux personnes faisant l'objet d'une mesure restrictive de liberté : hébergement, formation, emploi ou suivi médical par exemple. Ces dispositifs sont pour la plupart inscrits dans le cadre de la politique de la ville.</w:t>
      </w:r>
    </w:p>
    <w:p w:rsidR="006528C6" w:rsidRPr="006528C6" w:rsidRDefault="006528C6" w:rsidP="006528C6">
      <w:pPr>
        <w:pStyle w:val="Paragraphedeliste"/>
        <w:numPr>
          <w:ilvl w:val="0"/>
          <w:numId w:val="4"/>
        </w:numPr>
        <w:rPr>
          <w:rFonts w:asciiTheme="majorHAnsi" w:hAnsiTheme="majorHAnsi"/>
          <w:sz w:val="28"/>
          <w:szCs w:val="28"/>
        </w:rPr>
      </w:pPr>
      <w:r w:rsidRPr="006528C6">
        <w:rPr>
          <w:rFonts w:asciiTheme="majorHAnsi" w:hAnsiTheme="majorHAnsi"/>
          <w:sz w:val="28"/>
          <w:szCs w:val="28"/>
        </w:rPr>
        <w:lastRenderedPageBreak/>
        <w:t>Les règles pénitentiaires européennes : adoptées</w:t>
      </w:r>
      <w:r w:rsidRPr="006528C6">
        <w:rPr>
          <w:rFonts w:asciiTheme="majorHAnsi" w:hAnsiTheme="majorHAnsi"/>
          <w:sz w:val="28"/>
          <w:szCs w:val="28"/>
        </w:rPr>
        <w:t xml:space="preserve"> par la France et l'ensemble des États membres du Conseil de l'Europe en janvier 2006, elles constituent un cadre éthique et une charte d'action pour l'administration pénitentiaire. Elles rappellent des principes fondamentaux et des recommandations pratiques concernant : les conditions de détention, la santé et l'accès aux soins, le bon ordre, le personnel pénitentiaire, les inspections et contrôles et le régime de détention des prévenus et des condamnés.</w:t>
      </w:r>
    </w:p>
    <w:sectPr w:rsidR="006528C6" w:rsidRPr="00652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494B"/>
    <w:multiLevelType w:val="hybridMultilevel"/>
    <w:tmpl w:val="01DEE7BC"/>
    <w:lvl w:ilvl="0" w:tplc="538CA5B6">
      <w:start w:val="1"/>
      <w:numFmt w:val="bullet"/>
      <w:lvlText w:val=""/>
      <w:lvlJc w:val="left"/>
      <w:pPr>
        <w:ind w:left="963" w:hanging="360"/>
      </w:pPr>
      <w:rPr>
        <w:rFonts w:ascii="Symbol" w:hAnsi="Symbol" w:hint="default"/>
      </w:rPr>
    </w:lvl>
    <w:lvl w:ilvl="1" w:tplc="040C0003" w:tentative="1">
      <w:start w:val="1"/>
      <w:numFmt w:val="bullet"/>
      <w:lvlText w:val="o"/>
      <w:lvlJc w:val="left"/>
      <w:pPr>
        <w:ind w:left="1683" w:hanging="360"/>
      </w:pPr>
      <w:rPr>
        <w:rFonts w:ascii="Courier New" w:hAnsi="Courier New" w:cs="Courier New" w:hint="default"/>
      </w:rPr>
    </w:lvl>
    <w:lvl w:ilvl="2" w:tplc="040C0005" w:tentative="1">
      <w:start w:val="1"/>
      <w:numFmt w:val="bullet"/>
      <w:lvlText w:val=""/>
      <w:lvlJc w:val="left"/>
      <w:pPr>
        <w:ind w:left="2403" w:hanging="360"/>
      </w:pPr>
      <w:rPr>
        <w:rFonts w:ascii="Wingdings" w:hAnsi="Wingdings" w:hint="default"/>
      </w:rPr>
    </w:lvl>
    <w:lvl w:ilvl="3" w:tplc="040C0001" w:tentative="1">
      <w:start w:val="1"/>
      <w:numFmt w:val="bullet"/>
      <w:lvlText w:val=""/>
      <w:lvlJc w:val="left"/>
      <w:pPr>
        <w:ind w:left="3123" w:hanging="360"/>
      </w:pPr>
      <w:rPr>
        <w:rFonts w:ascii="Symbol" w:hAnsi="Symbol" w:hint="default"/>
      </w:rPr>
    </w:lvl>
    <w:lvl w:ilvl="4" w:tplc="040C0003" w:tentative="1">
      <w:start w:val="1"/>
      <w:numFmt w:val="bullet"/>
      <w:lvlText w:val="o"/>
      <w:lvlJc w:val="left"/>
      <w:pPr>
        <w:ind w:left="3843" w:hanging="360"/>
      </w:pPr>
      <w:rPr>
        <w:rFonts w:ascii="Courier New" w:hAnsi="Courier New" w:cs="Courier New" w:hint="default"/>
      </w:rPr>
    </w:lvl>
    <w:lvl w:ilvl="5" w:tplc="040C0005" w:tentative="1">
      <w:start w:val="1"/>
      <w:numFmt w:val="bullet"/>
      <w:lvlText w:val=""/>
      <w:lvlJc w:val="left"/>
      <w:pPr>
        <w:ind w:left="4563" w:hanging="360"/>
      </w:pPr>
      <w:rPr>
        <w:rFonts w:ascii="Wingdings" w:hAnsi="Wingdings" w:hint="default"/>
      </w:rPr>
    </w:lvl>
    <w:lvl w:ilvl="6" w:tplc="040C0001" w:tentative="1">
      <w:start w:val="1"/>
      <w:numFmt w:val="bullet"/>
      <w:lvlText w:val=""/>
      <w:lvlJc w:val="left"/>
      <w:pPr>
        <w:ind w:left="5283" w:hanging="360"/>
      </w:pPr>
      <w:rPr>
        <w:rFonts w:ascii="Symbol" w:hAnsi="Symbol" w:hint="default"/>
      </w:rPr>
    </w:lvl>
    <w:lvl w:ilvl="7" w:tplc="040C0003" w:tentative="1">
      <w:start w:val="1"/>
      <w:numFmt w:val="bullet"/>
      <w:lvlText w:val="o"/>
      <w:lvlJc w:val="left"/>
      <w:pPr>
        <w:ind w:left="6003" w:hanging="360"/>
      </w:pPr>
      <w:rPr>
        <w:rFonts w:ascii="Courier New" w:hAnsi="Courier New" w:cs="Courier New" w:hint="default"/>
      </w:rPr>
    </w:lvl>
    <w:lvl w:ilvl="8" w:tplc="040C0005" w:tentative="1">
      <w:start w:val="1"/>
      <w:numFmt w:val="bullet"/>
      <w:lvlText w:val=""/>
      <w:lvlJc w:val="left"/>
      <w:pPr>
        <w:ind w:left="6723" w:hanging="360"/>
      </w:pPr>
      <w:rPr>
        <w:rFonts w:ascii="Wingdings" w:hAnsi="Wingdings" w:hint="default"/>
      </w:rPr>
    </w:lvl>
  </w:abstractNum>
  <w:abstractNum w:abstractNumId="1">
    <w:nsid w:val="52A671E9"/>
    <w:multiLevelType w:val="multilevel"/>
    <w:tmpl w:val="96EE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5014B"/>
    <w:multiLevelType w:val="multilevel"/>
    <w:tmpl w:val="8F9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DE0B4C"/>
    <w:multiLevelType w:val="multilevel"/>
    <w:tmpl w:val="4E20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C6"/>
    <w:rsid w:val="006528C6"/>
    <w:rsid w:val="00CA27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8C6"/>
    <w:pPr>
      <w:ind w:left="720"/>
      <w:contextualSpacing/>
    </w:pPr>
  </w:style>
  <w:style w:type="paragraph" w:styleId="Textedebulles">
    <w:name w:val="Balloon Text"/>
    <w:basedOn w:val="Normal"/>
    <w:link w:val="TextedebullesCar"/>
    <w:uiPriority w:val="99"/>
    <w:semiHidden/>
    <w:unhideWhenUsed/>
    <w:rsid w:val="00652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8C6"/>
    <w:pPr>
      <w:ind w:left="720"/>
      <w:contextualSpacing/>
    </w:pPr>
  </w:style>
  <w:style w:type="paragraph" w:styleId="Textedebulles">
    <w:name w:val="Balloon Text"/>
    <w:basedOn w:val="Normal"/>
    <w:link w:val="TextedebullesCar"/>
    <w:uiPriority w:val="99"/>
    <w:semiHidden/>
    <w:unhideWhenUsed/>
    <w:rsid w:val="00652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314">
      <w:bodyDiv w:val="1"/>
      <w:marLeft w:val="0"/>
      <w:marRight w:val="0"/>
      <w:marTop w:val="0"/>
      <w:marBottom w:val="0"/>
      <w:divBdr>
        <w:top w:val="none" w:sz="0" w:space="0" w:color="auto"/>
        <w:left w:val="none" w:sz="0" w:space="0" w:color="auto"/>
        <w:bottom w:val="none" w:sz="0" w:space="0" w:color="auto"/>
        <w:right w:val="none" w:sz="0" w:space="0" w:color="auto"/>
      </w:divBdr>
      <w:divsChild>
        <w:div w:id="333578338">
          <w:marLeft w:val="0"/>
          <w:marRight w:val="0"/>
          <w:marTop w:val="0"/>
          <w:marBottom w:val="0"/>
          <w:divBdr>
            <w:top w:val="none" w:sz="0" w:space="0" w:color="auto"/>
            <w:left w:val="none" w:sz="0" w:space="0" w:color="auto"/>
            <w:bottom w:val="none" w:sz="0" w:space="0" w:color="auto"/>
            <w:right w:val="none" w:sz="0" w:space="0" w:color="auto"/>
          </w:divBdr>
          <w:divsChild>
            <w:div w:id="1566254786">
              <w:marLeft w:val="0"/>
              <w:marRight w:val="0"/>
              <w:marTop w:val="0"/>
              <w:marBottom w:val="0"/>
              <w:divBdr>
                <w:top w:val="none" w:sz="0" w:space="0" w:color="auto"/>
                <w:left w:val="none" w:sz="0" w:space="0" w:color="auto"/>
                <w:bottom w:val="none" w:sz="0" w:space="0" w:color="auto"/>
                <w:right w:val="none" w:sz="0" w:space="0" w:color="auto"/>
              </w:divBdr>
            </w:div>
            <w:div w:id="18636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Droit_de_gr%C3%A8ve_en_France" TargetMode="External"/><Relationship Id="rId13" Type="http://schemas.openxmlformats.org/officeDocument/2006/relationships/hyperlink" Target="http://fr.wikipedia.org/wiki/1911" TargetMode="External"/><Relationship Id="rId18" Type="http://schemas.openxmlformats.org/officeDocument/2006/relationships/hyperlink" Target="http://fr.wikipedia.org/wiki/Juge_d%27application_des_pein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fr.wikipedia.org/wiki/R%C3%A9insertion_apr%C3%A8s_une_peine_de_prison" TargetMode="External"/><Relationship Id="rId12" Type="http://schemas.openxmlformats.org/officeDocument/2006/relationships/hyperlink" Target="http://fr.wikipedia.org/wiki/Minist%C3%A8re_de_la_Justice_%28France%29" TargetMode="External"/><Relationship Id="rId17" Type="http://schemas.openxmlformats.org/officeDocument/2006/relationships/hyperlink" Target="http://fr.wikipedia.org/wiki/Maison_centrale" TargetMode="External"/><Relationship Id="rId2" Type="http://schemas.openxmlformats.org/officeDocument/2006/relationships/styles" Target="styles.xml"/><Relationship Id="rId16" Type="http://schemas.openxmlformats.org/officeDocument/2006/relationships/hyperlink" Target="http://fr.wikipedia.org/wiki/Centre_de_d%C3%A9ten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wikipedia.org/wiki/R%C3%A8gles_p%C3%A9nitentiaires_europ%C3%A9ennes" TargetMode="External"/><Relationship Id="rId11" Type="http://schemas.openxmlformats.org/officeDocument/2006/relationships/hyperlink" Target="http://fr.wikipedia.org/wiki/Direction_de_l%27administration_p%C3%A9nitentiaire" TargetMode="External"/><Relationship Id="rId5" Type="http://schemas.openxmlformats.org/officeDocument/2006/relationships/webSettings" Target="webSettings.xml"/><Relationship Id="rId15" Type="http://schemas.openxmlformats.org/officeDocument/2006/relationships/hyperlink" Target="http://fr.wikipedia.org/wiki/Maisons_d%27arr%C3%AAt" TargetMode="External"/><Relationship Id="rId10" Type="http://schemas.openxmlformats.org/officeDocument/2006/relationships/hyperlink" Target="http://fr.wikipedia.org/wiki/Compagnie_r%C3%A9publicaine_de_s%C3%A9curit%C3%A9" TargetMode="External"/><Relationship Id="rId19" Type="http://schemas.openxmlformats.org/officeDocument/2006/relationships/hyperlink" Target="http://fr.wikipedia.org/wiki/%C3%89tablissement_p%C3%A9nitentiaire_pour_mineurs" TargetMode="External"/><Relationship Id="rId4" Type="http://schemas.openxmlformats.org/officeDocument/2006/relationships/settings" Target="settings.xml"/><Relationship Id="rId9" Type="http://schemas.openxmlformats.org/officeDocument/2006/relationships/hyperlink" Target="http://fr.wikipedia.org/wiki/Magistrats" TargetMode="External"/><Relationship Id="rId14" Type="http://schemas.openxmlformats.org/officeDocument/2006/relationships/hyperlink" Target="http://fr.wikipedia.org/wiki/Lieux_privatifs_de_liber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888</Words>
  <Characters>4888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cp:revision>
  <cp:lastPrinted>2012-07-23T12:34:00Z</cp:lastPrinted>
  <dcterms:created xsi:type="dcterms:W3CDTF">2012-07-23T12:27:00Z</dcterms:created>
  <dcterms:modified xsi:type="dcterms:W3CDTF">2012-07-23T12:34:00Z</dcterms:modified>
</cp:coreProperties>
</file>